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B6" w:rsidRPr="00CF0CB6" w:rsidRDefault="00CF0CB6" w:rsidP="00CF0CB6">
      <w:pPr>
        <w:jc w:val="center"/>
        <w:rPr>
          <w:rFonts w:ascii="Times New Roman" w:hAnsi="Times New Roman" w:cs="Times New Roman"/>
          <w:sz w:val="80"/>
          <w:szCs w:val="80"/>
        </w:rPr>
      </w:pPr>
    </w:p>
    <w:p w:rsidR="00CF0CB6" w:rsidRPr="0033799E" w:rsidRDefault="00CF0CB6" w:rsidP="00CF0CB6">
      <w:pPr>
        <w:jc w:val="center"/>
        <w:rPr>
          <w:rFonts w:ascii="Kunstler Script" w:hAnsi="Kunstler Script" w:cs="Arial"/>
          <w:sz w:val="80"/>
          <w:szCs w:val="80"/>
        </w:rPr>
      </w:pPr>
      <w:r w:rsidRPr="0033799E">
        <w:rPr>
          <w:rFonts w:ascii="Kunstler Script" w:hAnsi="Kunstler Script" w:cs="Arial"/>
          <w:sz w:val="80"/>
          <w:szCs w:val="80"/>
        </w:rPr>
        <w:t>Ministero delle  Infrastrutture e dei Trasporti</w:t>
      </w:r>
    </w:p>
    <w:p w:rsidR="00CF0CB6" w:rsidRPr="00CF0CB6" w:rsidRDefault="00CF0CB6" w:rsidP="00CF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0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DIPARTIMENTO PER LE INFRASTRUTTURE, </w:t>
      </w:r>
    </w:p>
    <w:p w:rsidR="00CF0CB6" w:rsidRPr="00CF0CB6" w:rsidRDefault="00CF0CB6" w:rsidP="00CF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0CB6">
        <w:rPr>
          <w:rFonts w:ascii="Times New Roman" w:eastAsia="Times New Roman" w:hAnsi="Times New Roman" w:cs="Times New Roman"/>
          <w:sz w:val="24"/>
          <w:szCs w:val="24"/>
          <w:lang w:eastAsia="it-IT"/>
        </w:rPr>
        <w:t>I SISTEMI INFORMATIVI E STATISTICI</w:t>
      </w:r>
    </w:p>
    <w:p w:rsidR="00CF0CB6" w:rsidRPr="00CF0CB6" w:rsidRDefault="00CF0CB6" w:rsidP="00CF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F0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DIREZIONE GENERALE PER I SISTEMI INFORMATIVI E STATISTICI </w:t>
      </w:r>
    </w:p>
    <w:p w:rsidR="00CF0CB6" w:rsidRPr="00CF0CB6" w:rsidRDefault="00CF0CB6" w:rsidP="00CF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CF0CB6">
        <w:rPr>
          <w:rFonts w:ascii="Times New Roman" w:eastAsia="Times New Roman" w:hAnsi="Times New Roman" w:cs="Times New Roman"/>
          <w:sz w:val="24"/>
          <w:szCs w:val="24"/>
          <w:lang w:eastAsia="it-IT"/>
        </w:rPr>
        <w:t>Div</w:t>
      </w:r>
      <w:proofErr w:type="spellEnd"/>
      <w:r w:rsidRPr="00CF0CB6">
        <w:rPr>
          <w:rFonts w:ascii="Times New Roman" w:eastAsia="Times New Roman" w:hAnsi="Times New Roman" w:cs="Times New Roman"/>
          <w:sz w:val="24"/>
          <w:szCs w:val="24"/>
          <w:lang w:eastAsia="it-IT"/>
        </w:rPr>
        <w:t>. 3 - Ufficio di Statistica</w:t>
      </w:r>
    </w:p>
    <w:p w:rsidR="00CF0CB6" w:rsidRPr="00CF0CB6" w:rsidRDefault="00CF0CB6" w:rsidP="00CF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F0CB6" w:rsidRPr="00CF0CB6" w:rsidRDefault="00CF0CB6" w:rsidP="00CF0C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CB6" w:rsidRPr="00CF0CB6" w:rsidRDefault="00CF0CB6" w:rsidP="00CF0C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CB6" w:rsidRPr="00CF0CB6" w:rsidRDefault="00CF0CB6" w:rsidP="00CF0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CF0CB6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PROGRAMMAZIONE STRATEGICA 2016</w:t>
      </w:r>
    </w:p>
    <w:p w:rsidR="00CF0CB6" w:rsidRPr="00CF0CB6" w:rsidRDefault="00CF0CB6" w:rsidP="00CF0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CF0CB6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OBIETTIVO OPERATIVO: </w:t>
      </w:r>
    </w:p>
    <w:p w:rsidR="00CF0CB6" w:rsidRPr="00CF0CB6" w:rsidRDefault="00CF0CB6" w:rsidP="00CF0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CF0CB6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STAT</w:t>
      </w:r>
      <w:r w:rsidR="006618CD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ISTICHE </w:t>
      </w:r>
      <w:r w:rsidRPr="00CF0CB6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SULL’INCIDENTALITA’ NEI TRASPORTI STRADALI,</w:t>
      </w:r>
    </w:p>
    <w:p w:rsidR="00CF0CB6" w:rsidRPr="00CF0CB6" w:rsidRDefault="00CF0CB6" w:rsidP="00CF0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CF0CB6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ANCHE CON RIFERIMENTO ALLA TIPOLOGIA DI STRADA</w:t>
      </w:r>
    </w:p>
    <w:p w:rsidR="00CF0CB6" w:rsidRPr="00CF0CB6" w:rsidRDefault="00CF0CB6" w:rsidP="00CF0CB6">
      <w:pPr>
        <w:rPr>
          <w:rFonts w:ascii="Times New Roman" w:hAnsi="Times New Roman" w:cs="Times New Roman"/>
        </w:rPr>
      </w:pPr>
    </w:p>
    <w:p w:rsidR="00CF0CB6" w:rsidRPr="00CF0CB6" w:rsidRDefault="00CF0CB6" w:rsidP="00CF0CB6">
      <w:pPr>
        <w:rPr>
          <w:rFonts w:ascii="Times New Roman" w:hAnsi="Times New Roman" w:cs="Times New Roman"/>
        </w:rPr>
      </w:pPr>
    </w:p>
    <w:p w:rsidR="00CF0CB6" w:rsidRPr="00CF0CB6" w:rsidRDefault="00CF0CB6" w:rsidP="00CF0CB6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CF0CB6" w:rsidRPr="00CF0CB6" w:rsidRDefault="00CF0CB6" w:rsidP="00CF0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it-IT"/>
        </w:rPr>
      </w:pPr>
      <w:r w:rsidRPr="00CF0CB6">
        <w:rPr>
          <w:rFonts w:ascii="Times New Roman" w:eastAsia="Times New Roman" w:hAnsi="Times New Roman" w:cs="Times New Roman"/>
          <w:b/>
          <w:iCs/>
          <w:caps/>
          <w:sz w:val="28"/>
          <w:szCs w:val="28"/>
          <w:lang w:eastAsia="it-IT"/>
        </w:rPr>
        <w:t>Incidenti stradali in Italia nel 2015</w:t>
      </w:r>
    </w:p>
    <w:p w:rsidR="00CF0CB6" w:rsidRPr="00CF0CB6" w:rsidRDefault="00CF0CB6" w:rsidP="00CF0CB6">
      <w:pPr>
        <w:ind w:firstLine="708"/>
        <w:jc w:val="center"/>
        <w:rPr>
          <w:rFonts w:ascii="Times New Roman" w:hAnsi="Times New Roman" w:cs="Times New Roman"/>
          <w:b/>
          <w:caps/>
          <w:spacing w:val="-16"/>
          <w:sz w:val="28"/>
          <w:szCs w:val="28"/>
        </w:rPr>
      </w:pPr>
    </w:p>
    <w:p w:rsidR="00963A1B" w:rsidRDefault="00CF0CB6" w:rsidP="00CF0CB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F0CB6">
        <w:rPr>
          <w:rFonts w:ascii="Times New Roman" w:hAnsi="Times New Roman" w:cs="Times New Roman"/>
          <w:b/>
          <w:i/>
          <w:smallCaps/>
          <w:sz w:val="24"/>
          <w:szCs w:val="24"/>
        </w:rPr>
        <w:t>(</w:t>
      </w:r>
      <w:r w:rsidRPr="00CF0CB6">
        <w:rPr>
          <w:rFonts w:ascii="Times New Roman" w:hAnsi="Times New Roman" w:cs="Times New Roman"/>
          <w:b/>
          <w:i/>
          <w:sz w:val="24"/>
          <w:szCs w:val="24"/>
        </w:rPr>
        <w:t>a cura dell’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Istituto Nazionale di Statistica </w:t>
      </w:r>
    </w:p>
    <w:p w:rsidR="00963A1B" w:rsidRDefault="00CF0CB6" w:rsidP="00CF0CB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Direzione Centrale per le Statistiche Sociali e il Censimento della Popolazione  </w:t>
      </w:r>
    </w:p>
    <w:p w:rsidR="00CF0CB6" w:rsidRPr="00CF0CB6" w:rsidRDefault="00CF0CB6" w:rsidP="00CF0CB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Servizio Sistema Integrato sulla Salute, Assistenza, Previdenza e Giustizia</w:t>
      </w:r>
      <w:r w:rsidRPr="00CF0CB6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CF0CB6" w:rsidRPr="00CF0CB6" w:rsidRDefault="00CF0CB6" w:rsidP="00CF0CB6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CF0CB6" w:rsidRDefault="00CF0CB6" w:rsidP="00380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</w:p>
    <w:p w:rsidR="00CF0CB6" w:rsidRDefault="00CF0CB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br w:type="page"/>
      </w:r>
    </w:p>
    <w:p w:rsidR="00602839" w:rsidRPr="00F555A6" w:rsidRDefault="00602839" w:rsidP="00380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  <w:r w:rsidRPr="00F555A6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lastRenderedPageBreak/>
        <w:t>C</w:t>
      </w:r>
      <w:r w:rsidR="00DC54E3" w:rsidRPr="00F555A6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ontributo Ista</w:t>
      </w:r>
      <w:bookmarkStart w:id="0" w:name="_GoBack"/>
      <w:bookmarkEnd w:id="0"/>
      <w:r w:rsidR="00DC54E3" w:rsidRPr="00F555A6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t</w:t>
      </w:r>
    </w:p>
    <w:p w:rsidR="0023269B" w:rsidRPr="0086307C" w:rsidRDefault="00602839" w:rsidP="0038079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  <w:r w:rsidRPr="0086307C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a cura della Dr.ssa Silvia Bruzzone e della Dr.</w:t>
      </w:r>
      <w:r w:rsidR="00EF4C3F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ssa</w:t>
      </w:r>
      <w:r w:rsidRPr="0086307C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 xml:space="preserve"> Giordana Baldassarre</w:t>
      </w:r>
    </w:p>
    <w:p w:rsidR="0023269B" w:rsidRPr="009A177C" w:rsidRDefault="00602839" w:rsidP="0038079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</w:pPr>
      <w:r w:rsidRPr="009A177C"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  <w:t>Istituto Nazionale di Statistica</w:t>
      </w:r>
    </w:p>
    <w:p w:rsidR="001838D2" w:rsidRDefault="0023269B" w:rsidP="0038079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</w:pPr>
      <w:r w:rsidRPr="009A177C"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  <w:t xml:space="preserve">Direzione Centrale </w:t>
      </w:r>
      <w:r w:rsidR="001838D2"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  <w:t>per le Statistiche Sociali e il Censimento della Popolazione</w:t>
      </w:r>
    </w:p>
    <w:p w:rsidR="00602839" w:rsidRPr="009A177C" w:rsidRDefault="00602839" w:rsidP="0038079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</w:pPr>
      <w:r w:rsidRPr="009A177C"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  <w:t>Servizio</w:t>
      </w:r>
      <w:r w:rsidR="001838D2"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  <w:t xml:space="preserve"> Sistema Integrato sulla </w:t>
      </w:r>
      <w:r w:rsidR="00EF4C3F"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  <w:t>Salute</w:t>
      </w:r>
      <w:r w:rsidR="001838D2"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  <w:t>,</w:t>
      </w:r>
      <w:r w:rsidR="0023269B" w:rsidRPr="009A177C"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  <w:t xml:space="preserve"> Assistenza</w:t>
      </w:r>
      <w:r w:rsidR="001838D2">
        <w:rPr>
          <w:rFonts w:ascii="Times New Roman" w:eastAsia="Times New Roman" w:hAnsi="Times New Roman" w:cs="Times New Roman"/>
          <w:iCs/>
          <w:sz w:val="18"/>
          <w:szCs w:val="18"/>
          <w:lang w:eastAsia="it-IT"/>
        </w:rPr>
        <w:t>, Previdenza e Giustizia</w:t>
      </w:r>
    </w:p>
    <w:p w:rsidR="00C5237E" w:rsidRPr="00645C8B" w:rsidRDefault="00C5237E" w:rsidP="00380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</w:p>
    <w:p w:rsidR="00602839" w:rsidRPr="00645C8B" w:rsidRDefault="00602839" w:rsidP="00380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</w:p>
    <w:p w:rsidR="00712820" w:rsidRPr="00F555A6" w:rsidRDefault="00330067" w:rsidP="00380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555A6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Incid</w:t>
      </w:r>
      <w:r w:rsidR="002B7859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enti stradali in Italia nel 2015</w:t>
      </w:r>
    </w:p>
    <w:p w:rsidR="00672500" w:rsidRPr="00645C8B" w:rsidRDefault="00672500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0A8C" w:rsidRDefault="00AA0A8C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A8C">
        <w:rPr>
          <w:rFonts w:ascii="Times New Roman" w:hAnsi="Times New Roman" w:cs="Times New Roman"/>
          <w:sz w:val="24"/>
          <w:szCs w:val="24"/>
        </w:rPr>
        <w:t>Nel 201</w:t>
      </w:r>
      <w:r w:rsidR="00656614">
        <w:rPr>
          <w:rFonts w:ascii="Times New Roman" w:hAnsi="Times New Roman" w:cs="Times New Roman"/>
          <w:sz w:val="24"/>
          <w:szCs w:val="24"/>
        </w:rPr>
        <w:t>5</w:t>
      </w:r>
      <w:r w:rsidRPr="00AA0A8C">
        <w:rPr>
          <w:rFonts w:ascii="Times New Roman" w:hAnsi="Times New Roman" w:cs="Times New Roman"/>
          <w:sz w:val="24"/>
          <w:szCs w:val="24"/>
        </w:rPr>
        <w:t xml:space="preserve"> gli incidenti stradali con lesio</w:t>
      </w:r>
      <w:r>
        <w:rPr>
          <w:rFonts w:ascii="Times New Roman" w:hAnsi="Times New Roman" w:cs="Times New Roman"/>
          <w:sz w:val="24"/>
          <w:szCs w:val="24"/>
        </w:rPr>
        <w:t xml:space="preserve">ni a persone in Italia </w:t>
      </w:r>
      <w:r w:rsidR="00812E96">
        <w:rPr>
          <w:rFonts w:ascii="Times New Roman" w:hAnsi="Times New Roman" w:cs="Times New Roman"/>
          <w:sz w:val="24"/>
          <w:szCs w:val="24"/>
        </w:rPr>
        <w:t>sono stati 174.539, le vittime 3.428</w:t>
      </w:r>
      <w:r w:rsidRPr="00AA0A8C">
        <w:rPr>
          <w:rFonts w:ascii="Times New Roman" w:hAnsi="Times New Roman" w:cs="Times New Roman"/>
          <w:sz w:val="24"/>
          <w:szCs w:val="24"/>
        </w:rPr>
        <w:t xml:space="preserve"> e i feriti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812E96">
        <w:rPr>
          <w:rFonts w:ascii="Times New Roman" w:hAnsi="Times New Roman" w:cs="Times New Roman"/>
          <w:sz w:val="24"/>
          <w:szCs w:val="24"/>
        </w:rPr>
        <w:t>46</w:t>
      </w:r>
      <w:r>
        <w:rPr>
          <w:rFonts w:ascii="Times New Roman" w:hAnsi="Times New Roman" w:cs="Times New Roman"/>
          <w:sz w:val="24"/>
          <w:szCs w:val="24"/>
        </w:rPr>
        <w:t>.</w:t>
      </w:r>
      <w:r w:rsidR="00812E96">
        <w:rPr>
          <w:rFonts w:ascii="Times New Roman" w:hAnsi="Times New Roman" w:cs="Times New Roman"/>
          <w:sz w:val="24"/>
          <w:szCs w:val="24"/>
        </w:rPr>
        <w:t>920</w:t>
      </w:r>
      <w:r w:rsidRPr="00AA0A8C">
        <w:rPr>
          <w:rFonts w:ascii="Times New Roman" w:hAnsi="Times New Roman" w:cs="Times New Roman"/>
          <w:sz w:val="24"/>
          <w:szCs w:val="24"/>
        </w:rPr>
        <w:t>. Ogni giorno, durante l’anno, si sono verificati in media 4</w:t>
      </w:r>
      <w:r w:rsidR="0029193D">
        <w:rPr>
          <w:rFonts w:ascii="Times New Roman" w:hAnsi="Times New Roman" w:cs="Times New Roman"/>
          <w:sz w:val="24"/>
          <w:szCs w:val="24"/>
        </w:rPr>
        <w:t>7</w:t>
      </w:r>
      <w:r w:rsidRPr="00AA0A8C">
        <w:rPr>
          <w:rFonts w:ascii="Times New Roman" w:hAnsi="Times New Roman" w:cs="Times New Roman"/>
          <w:sz w:val="24"/>
          <w:szCs w:val="24"/>
        </w:rPr>
        <w:t>8 incidenti stradali con lesioni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0A8C">
        <w:rPr>
          <w:rFonts w:ascii="Times New Roman" w:hAnsi="Times New Roman" w:cs="Times New Roman"/>
          <w:sz w:val="24"/>
          <w:szCs w:val="24"/>
        </w:rPr>
        <w:t>persone, sono morte 9 persone e ne sono rimaste ferite 6</w:t>
      </w:r>
      <w:r w:rsidR="0029193D">
        <w:rPr>
          <w:rFonts w:ascii="Times New Roman" w:hAnsi="Times New Roman" w:cs="Times New Roman"/>
          <w:sz w:val="24"/>
          <w:szCs w:val="24"/>
        </w:rPr>
        <w:t>76</w:t>
      </w:r>
      <w:r w:rsidRPr="00AA0A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0A8C" w:rsidRPr="00AA0A8C" w:rsidRDefault="00AA0A8C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A8C">
        <w:rPr>
          <w:rFonts w:ascii="Times New Roman" w:hAnsi="Times New Roman" w:cs="Times New Roman"/>
          <w:sz w:val="24"/>
          <w:szCs w:val="24"/>
        </w:rPr>
        <w:t>Rispetto al 201</w:t>
      </w:r>
      <w:r w:rsidR="0029193D">
        <w:rPr>
          <w:rFonts w:ascii="Times New Roman" w:hAnsi="Times New Roman" w:cs="Times New Roman"/>
          <w:sz w:val="24"/>
          <w:szCs w:val="24"/>
        </w:rPr>
        <w:t>4</w:t>
      </w:r>
      <w:r w:rsidRPr="00AA0A8C">
        <w:rPr>
          <w:rFonts w:ascii="Times New Roman" w:hAnsi="Times New Roman" w:cs="Times New Roman"/>
          <w:sz w:val="24"/>
          <w:szCs w:val="24"/>
        </w:rPr>
        <w:t xml:space="preserve"> gli incidenti si riducono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93D">
        <w:rPr>
          <w:rFonts w:ascii="Times New Roman" w:hAnsi="Times New Roman" w:cs="Times New Roman"/>
          <w:sz w:val="24"/>
          <w:szCs w:val="24"/>
        </w:rPr>
        <w:t>1,4</w:t>
      </w:r>
      <w:r w:rsidRPr="00AA0A8C">
        <w:rPr>
          <w:rFonts w:ascii="Times New Roman" w:hAnsi="Times New Roman" w:cs="Times New Roman"/>
          <w:sz w:val="24"/>
          <w:szCs w:val="24"/>
        </w:rPr>
        <w:t xml:space="preserve">%, i feriti del </w:t>
      </w:r>
      <w:r w:rsidR="0029193D">
        <w:rPr>
          <w:rFonts w:ascii="Times New Roman" w:hAnsi="Times New Roman" w:cs="Times New Roman"/>
          <w:sz w:val="24"/>
          <w:szCs w:val="24"/>
        </w:rPr>
        <w:t>1,7</w:t>
      </w:r>
      <w:r w:rsidRPr="00AA0A8C">
        <w:rPr>
          <w:rFonts w:ascii="Times New Roman" w:hAnsi="Times New Roman" w:cs="Times New Roman"/>
          <w:sz w:val="24"/>
          <w:szCs w:val="24"/>
        </w:rPr>
        <w:t xml:space="preserve">% e le vittime </w:t>
      </w:r>
      <w:r w:rsidR="0029193D">
        <w:rPr>
          <w:rFonts w:ascii="Times New Roman" w:hAnsi="Times New Roman" w:cs="Times New Roman"/>
          <w:sz w:val="24"/>
          <w:szCs w:val="24"/>
        </w:rPr>
        <w:t>aumentano del 1,4</w:t>
      </w:r>
      <w:r w:rsidRPr="00AA0A8C">
        <w:rPr>
          <w:rFonts w:ascii="Times New Roman" w:hAnsi="Times New Roman" w:cs="Times New Roman"/>
          <w:sz w:val="24"/>
          <w:szCs w:val="24"/>
        </w:rPr>
        <w:t>%.</w:t>
      </w:r>
    </w:p>
    <w:p w:rsidR="00664698" w:rsidRPr="00204B48" w:rsidRDefault="00AA0A8C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A0A8C">
        <w:rPr>
          <w:rFonts w:ascii="Times New Roman" w:hAnsi="Times New Roman" w:cs="Times New Roman"/>
          <w:sz w:val="24"/>
          <w:szCs w:val="24"/>
        </w:rPr>
        <w:t>Fra il 201</w:t>
      </w:r>
      <w:r w:rsidR="0029193D">
        <w:rPr>
          <w:rFonts w:ascii="Times New Roman" w:hAnsi="Times New Roman" w:cs="Times New Roman"/>
          <w:sz w:val="24"/>
          <w:szCs w:val="24"/>
        </w:rPr>
        <w:t>1 e il 2015</w:t>
      </w:r>
      <w:r w:rsidRPr="00AA0A8C">
        <w:rPr>
          <w:rFonts w:ascii="Times New Roman" w:hAnsi="Times New Roman" w:cs="Times New Roman"/>
          <w:sz w:val="24"/>
          <w:szCs w:val="24"/>
        </w:rPr>
        <w:t xml:space="preserve"> le vittime </w:t>
      </w:r>
      <w:r w:rsidR="0029193D">
        <w:rPr>
          <w:rFonts w:ascii="Times New Roman" w:hAnsi="Times New Roman" w:cs="Times New Roman"/>
          <w:sz w:val="24"/>
          <w:szCs w:val="24"/>
        </w:rPr>
        <w:t>della strada diminuiscono del 11</w:t>
      </w:r>
      <w:r w:rsidRPr="00AA0A8C">
        <w:rPr>
          <w:rFonts w:ascii="Times New Roman" w:hAnsi="Times New Roman" w:cs="Times New Roman"/>
          <w:sz w:val="24"/>
          <w:szCs w:val="24"/>
        </w:rPr>
        <w:t>,</w:t>
      </w:r>
      <w:r w:rsidR="0029193D">
        <w:rPr>
          <w:rFonts w:ascii="Times New Roman" w:hAnsi="Times New Roman" w:cs="Times New Roman"/>
          <w:sz w:val="24"/>
          <w:szCs w:val="24"/>
        </w:rPr>
        <w:t>2</w:t>
      </w:r>
      <w:r w:rsidRPr="00AA0A8C">
        <w:rPr>
          <w:rFonts w:ascii="Times New Roman" w:hAnsi="Times New Roman" w:cs="Times New Roman"/>
          <w:sz w:val="24"/>
          <w:szCs w:val="24"/>
        </w:rPr>
        <w:t xml:space="preserve">%. </w:t>
      </w:r>
      <w:r w:rsidRPr="00204B48">
        <w:rPr>
          <w:rFonts w:ascii="Times New Roman" w:hAnsi="Times New Roman" w:cs="Times New Roman"/>
          <w:spacing w:val="-4"/>
          <w:sz w:val="24"/>
          <w:szCs w:val="24"/>
        </w:rPr>
        <w:t>Il tr</w:t>
      </w:r>
      <w:r w:rsidR="00084376">
        <w:rPr>
          <w:rFonts w:ascii="Times New Roman" w:hAnsi="Times New Roman" w:cs="Times New Roman"/>
          <w:spacing w:val="-4"/>
          <w:sz w:val="24"/>
          <w:szCs w:val="24"/>
        </w:rPr>
        <w:t xml:space="preserve">end discendente della mortalità, avviato nella decade precedente, subisce una battuta di arresto nel 2015. </w:t>
      </w:r>
    </w:p>
    <w:p w:rsidR="00C5237E" w:rsidRDefault="00AA0A8C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A8C">
        <w:rPr>
          <w:rFonts w:ascii="Times New Roman" w:hAnsi="Times New Roman" w:cs="Times New Roman"/>
          <w:sz w:val="24"/>
          <w:szCs w:val="24"/>
        </w:rPr>
        <w:t>Tuttavia, fra 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376">
        <w:rPr>
          <w:rFonts w:ascii="Times New Roman" w:hAnsi="Times New Roman" w:cs="Times New Roman"/>
          <w:sz w:val="24"/>
          <w:szCs w:val="24"/>
        </w:rPr>
        <w:t>2001 e il 2015</w:t>
      </w:r>
      <w:r w:rsidRPr="00AA0A8C">
        <w:rPr>
          <w:rFonts w:ascii="Times New Roman" w:hAnsi="Times New Roman" w:cs="Times New Roman"/>
          <w:sz w:val="24"/>
          <w:szCs w:val="24"/>
        </w:rPr>
        <w:t xml:space="preserve">, gli incidenti stradali con lesioni a persone sono passati </w:t>
      </w:r>
      <w:r w:rsidR="00084376">
        <w:rPr>
          <w:rFonts w:ascii="Times New Roman" w:hAnsi="Times New Roman" w:cs="Times New Roman"/>
          <w:sz w:val="24"/>
          <w:szCs w:val="24"/>
        </w:rPr>
        <w:t xml:space="preserve">diminuiti del 33,7 %, le vittime della strada del 51,7% </w:t>
      </w:r>
      <w:r w:rsidRPr="00AA0A8C">
        <w:rPr>
          <w:rFonts w:ascii="Times New Roman" w:hAnsi="Times New Roman" w:cs="Times New Roman"/>
          <w:sz w:val="24"/>
          <w:szCs w:val="24"/>
        </w:rPr>
        <w:t>e i feriti d</w:t>
      </w:r>
      <w:r w:rsidR="00084376">
        <w:rPr>
          <w:rFonts w:ascii="Times New Roman" w:hAnsi="Times New Roman" w:cs="Times New Roman"/>
          <w:sz w:val="24"/>
          <w:szCs w:val="24"/>
        </w:rPr>
        <w:t>el 33,9%</w:t>
      </w:r>
      <w:r w:rsidR="00856AB3">
        <w:rPr>
          <w:rFonts w:ascii="Times New Roman" w:hAnsi="Times New Roman" w:cs="Times New Roman"/>
          <w:sz w:val="24"/>
          <w:szCs w:val="24"/>
        </w:rPr>
        <w:t xml:space="preserve"> (Fig.1)</w:t>
      </w:r>
      <w:r w:rsidRPr="00AA0A8C">
        <w:rPr>
          <w:rFonts w:ascii="Times New Roman" w:hAnsi="Times New Roman" w:cs="Times New Roman"/>
          <w:sz w:val="24"/>
          <w:szCs w:val="24"/>
        </w:rPr>
        <w:t>.</w:t>
      </w:r>
      <w:r w:rsidR="000C2044">
        <w:rPr>
          <w:rFonts w:ascii="Times New Roman" w:hAnsi="Times New Roman" w:cs="Times New Roman"/>
          <w:sz w:val="24"/>
          <w:szCs w:val="24"/>
        </w:rPr>
        <w:t xml:space="preserve"> </w:t>
      </w:r>
      <w:r w:rsidRPr="00AA0A8C">
        <w:rPr>
          <w:rFonts w:ascii="Times New Roman" w:hAnsi="Times New Roman" w:cs="Times New Roman"/>
          <w:sz w:val="24"/>
          <w:szCs w:val="24"/>
        </w:rPr>
        <w:t>Il numero di morti per milione di abitanti (tasso di</w:t>
      </w:r>
      <w:r w:rsidR="00616EEB">
        <w:rPr>
          <w:rFonts w:ascii="Times New Roman" w:hAnsi="Times New Roman" w:cs="Times New Roman"/>
          <w:sz w:val="24"/>
          <w:szCs w:val="24"/>
        </w:rPr>
        <w:t xml:space="preserve"> mortalità stradale) scende a 56</w:t>
      </w:r>
      <w:r w:rsidRPr="00AA0A8C">
        <w:rPr>
          <w:rFonts w:ascii="Times New Roman" w:hAnsi="Times New Roman" w:cs="Times New Roman"/>
          <w:sz w:val="24"/>
          <w:szCs w:val="24"/>
        </w:rPr>
        <w:t>,</w:t>
      </w:r>
      <w:r w:rsidR="00616EEB">
        <w:rPr>
          <w:rFonts w:ascii="Times New Roman" w:hAnsi="Times New Roman" w:cs="Times New Roman"/>
          <w:sz w:val="24"/>
          <w:szCs w:val="24"/>
        </w:rPr>
        <w:t>4</w:t>
      </w:r>
      <w:r w:rsidRPr="00AA0A8C">
        <w:rPr>
          <w:rFonts w:ascii="Times New Roman" w:hAnsi="Times New Roman" w:cs="Times New Roman"/>
          <w:sz w:val="24"/>
          <w:szCs w:val="24"/>
        </w:rPr>
        <w:t xml:space="preserve"> nel 201</w:t>
      </w:r>
      <w:r w:rsidR="00616EEB">
        <w:rPr>
          <w:rFonts w:ascii="Times New Roman" w:hAnsi="Times New Roman" w:cs="Times New Roman"/>
          <w:sz w:val="24"/>
          <w:szCs w:val="24"/>
        </w:rPr>
        <w:t>5</w:t>
      </w:r>
      <w:r w:rsidRPr="00AA0A8C">
        <w:rPr>
          <w:rFonts w:ascii="Times New Roman" w:hAnsi="Times New Roman" w:cs="Times New Roman"/>
          <w:sz w:val="24"/>
          <w:szCs w:val="24"/>
        </w:rPr>
        <w:t xml:space="preserve"> da 124,5 del 2001.</w:t>
      </w:r>
    </w:p>
    <w:p w:rsidR="00664698" w:rsidRPr="00645C8B" w:rsidRDefault="00664698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237E" w:rsidRDefault="00664698" w:rsidP="00FA40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4698">
        <w:rPr>
          <w:rFonts w:ascii="Times New Roman" w:hAnsi="Times New Roman" w:cs="Times New Roman"/>
          <w:b/>
          <w:sz w:val="24"/>
          <w:szCs w:val="24"/>
        </w:rPr>
        <w:t>Fig</w:t>
      </w:r>
      <w:r w:rsidR="00856AB3">
        <w:rPr>
          <w:rFonts w:ascii="Times New Roman" w:hAnsi="Times New Roman" w:cs="Times New Roman"/>
          <w:b/>
          <w:sz w:val="24"/>
          <w:szCs w:val="24"/>
        </w:rPr>
        <w:t>.</w:t>
      </w:r>
      <w:r w:rsidRPr="00664698">
        <w:rPr>
          <w:rFonts w:ascii="Times New Roman" w:hAnsi="Times New Roman" w:cs="Times New Roman"/>
          <w:b/>
          <w:sz w:val="24"/>
          <w:szCs w:val="24"/>
        </w:rPr>
        <w:t xml:space="preserve"> 1 </w:t>
      </w:r>
      <w:r w:rsidR="00A92B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64698">
        <w:rPr>
          <w:rFonts w:ascii="Times New Roman" w:hAnsi="Times New Roman" w:cs="Times New Roman"/>
          <w:b/>
          <w:sz w:val="24"/>
          <w:szCs w:val="24"/>
        </w:rPr>
        <w:t>Incidenti stradali con lesioni a persone</w:t>
      </w:r>
      <w:r w:rsidR="00E935FC">
        <w:rPr>
          <w:rFonts w:ascii="Times New Roman" w:hAnsi="Times New Roman" w:cs="Times New Roman"/>
          <w:b/>
          <w:sz w:val="24"/>
          <w:szCs w:val="24"/>
        </w:rPr>
        <w:t>, morti e feriti. Anni 2001-2015</w:t>
      </w:r>
      <w:r w:rsidRPr="00664698">
        <w:rPr>
          <w:rFonts w:ascii="Times New Roman" w:hAnsi="Times New Roman" w:cs="Times New Roman"/>
          <w:sz w:val="24"/>
          <w:szCs w:val="24"/>
        </w:rPr>
        <w:t xml:space="preserve"> </w:t>
      </w:r>
      <w:r w:rsidRPr="00FA40D1">
        <w:rPr>
          <w:rFonts w:ascii="Times New Roman" w:hAnsi="Times New Roman" w:cs="Times New Roman"/>
          <w:b/>
          <w:sz w:val="24"/>
          <w:szCs w:val="24"/>
        </w:rPr>
        <w:t>(valori assoluti)</w:t>
      </w:r>
    </w:p>
    <w:p w:rsidR="00F334F3" w:rsidRPr="00FA40D1" w:rsidRDefault="00F334F3" w:rsidP="00FA40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4698" w:rsidRPr="00664698" w:rsidRDefault="00F334F3" w:rsidP="00CF74C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46A41C78" wp14:editId="0E96F86D">
            <wp:extent cx="6082748" cy="1987826"/>
            <wp:effectExtent l="0" t="0" r="0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1F41" w:rsidRPr="00A548A2" w:rsidRDefault="00F01F41" w:rsidP="0038079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9474C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A548A2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380794" w:rsidRDefault="00380794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5242" w:rsidRPr="00B35242" w:rsidRDefault="00402926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 2015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 sulle strade urbane si sono verificati 13</w:t>
      </w:r>
      <w:r>
        <w:rPr>
          <w:rFonts w:ascii="Times New Roman" w:hAnsi="Times New Roman" w:cs="Times New Roman"/>
          <w:sz w:val="24"/>
          <w:szCs w:val="24"/>
        </w:rPr>
        <w:t>0</w:t>
      </w:r>
      <w:r w:rsidR="00B35242" w:rsidRPr="00B352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457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 incidenti (7</w:t>
      </w:r>
      <w:r>
        <w:rPr>
          <w:rFonts w:ascii="Times New Roman" w:hAnsi="Times New Roman" w:cs="Times New Roman"/>
          <w:sz w:val="24"/>
          <w:szCs w:val="24"/>
        </w:rPr>
        <w:t>4,7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% del totale), che hanno causato </w:t>
      </w:r>
      <w:r>
        <w:rPr>
          <w:rFonts w:ascii="Times New Roman" w:hAnsi="Times New Roman" w:cs="Times New Roman"/>
          <w:sz w:val="24"/>
          <w:szCs w:val="24"/>
        </w:rPr>
        <w:t>175.156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 feriti (7</w:t>
      </w:r>
      <w:r>
        <w:rPr>
          <w:rFonts w:ascii="Times New Roman" w:hAnsi="Times New Roman" w:cs="Times New Roman"/>
          <w:sz w:val="24"/>
          <w:szCs w:val="24"/>
        </w:rPr>
        <w:t>0</w:t>
      </w:r>
      <w:r w:rsidR="00B35242" w:rsidRPr="00B35242">
        <w:rPr>
          <w:rFonts w:ascii="Times New Roman" w:hAnsi="Times New Roman" w:cs="Times New Roman"/>
          <w:sz w:val="24"/>
          <w:szCs w:val="24"/>
        </w:rPr>
        <w:t>,9% del totale) e 1.50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 morti (4</w:t>
      </w:r>
      <w:r>
        <w:rPr>
          <w:rFonts w:ascii="Times New Roman" w:hAnsi="Times New Roman" w:cs="Times New Roman"/>
          <w:sz w:val="24"/>
          <w:szCs w:val="24"/>
        </w:rPr>
        <w:t>3</w:t>
      </w:r>
      <w:r w:rsidR="00B35242" w:rsidRPr="00B352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</w:t>
      </w:r>
      <w:r w:rsidR="00B35242" w:rsidRPr="00B35242">
        <w:rPr>
          <w:rFonts w:ascii="Times New Roman" w:hAnsi="Times New Roman" w:cs="Times New Roman"/>
          <w:sz w:val="24"/>
          <w:szCs w:val="24"/>
        </w:rPr>
        <w:t>% del totale). Sulle autostrade gli incidenti sono stati 9.1</w:t>
      </w:r>
      <w:r>
        <w:rPr>
          <w:rFonts w:ascii="Times New Roman" w:hAnsi="Times New Roman" w:cs="Times New Roman"/>
          <w:sz w:val="24"/>
          <w:szCs w:val="24"/>
        </w:rPr>
        <w:t>79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 (5,</w:t>
      </w:r>
      <w:r>
        <w:rPr>
          <w:rFonts w:ascii="Times New Roman" w:hAnsi="Times New Roman" w:cs="Times New Roman"/>
          <w:sz w:val="24"/>
          <w:szCs w:val="24"/>
        </w:rPr>
        <w:t>3% del totale) con 15.85</w:t>
      </w:r>
      <w:r w:rsidR="00B35242" w:rsidRPr="00B35242">
        <w:rPr>
          <w:rFonts w:ascii="Times New Roman" w:hAnsi="Times New Roman" w:cs="Times New Roman"/>
          <w:sz w:val="24"/>
          <w:szCs w:val="24"/>
        </w:rPr>
        <w:t>0 feriti (6,</w:t>
      </w:r>
      <w:r>
        <w:rPr>
          <w:rFonts w:ascii="Times New Roman" w:hAnsi="Times New Roman" w:cs="Times New Roman"/>
          <w:sz w:val="24"/>
          <w:szCs w:val="24"/>
        </w:rPr>
        <w:t>4% del totale) e 305 decessi (8</w:t>
      </w:r>
      <w:r w:rsidR="00B35242" w:rsidRPr="00B352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</w:t>
      </w:r>
      <w:r w:rsidR="00B35242" w:rsidRPr="00B35242">
        <w:rPr>
          <w:rFonts w:ascii="Times New Roman" w:hAnsi="Times New Roman" w:cs="Times New Roman"/>
          <w:sz w:val="24"/>
          <w:szCs w:val="24"/>
        </w:rPr>
        <w:t>% del totale) mentre sulle altre strade extraurbane, comprensive delle Strade Statali, Provinciali, Comunali extraurbane e Regionali, gli incidenti rilevati sono 34.</w:t>
      </w:r>
      <w:r>
        <w:rPr>
          <w:rFonts w:ascii="Times New Roman" w:hAnsi="Times New Roman" w:cs="Times New Roman"/>
          <w:sz w:val="24"/>
          <w:szCs w:val="24"/>
        </w:rPr>
        <w:t>903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20</w:t>
      </w:r>
      <w:r w:rsidR="00B35242" w:rsidRPr="00B352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="00B35242" w:rsidRPr="00B35242">
        <w:rPr>
          <w:rFonts w:ascii="Times New Roman" w:hAnsi="Times New Roman" w:cs="Times New Roman"/>
          <w:sz w:val="24"/>
          <w:szCs w:val="24"/>
        </w:rPr>
        <w:t>% del totale), i feriti 55.</w:t>
      </w:r>
      <w:r>
        <w:rPr>
          <w:rFonts w:ascii="Times New Roman" w:hAnsi="Times New Roman" w:cs="Times New Roman"/>
          <w:sz w:val="24"/>
          <w:szCs w:val="24"/>
        </w:rPr>
        <w:t>914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 (22</w:t>
      </w:r>
      <w:r>
        <w:rPr>
          <w:rFonts w:ascii="Times New Roman" w:hAnsi="Times New Roman" w:cs="Times New Roman"/>
          <w:sz w:val="24"/>
          <w:szCs w:val="24"/>
        </w:rPr>
        <w:t>,6</w:t>
      </w:r>
      <w:r w:rsidR="00140963">
        <w:rPr>
          <w:rFonts w:ascii="Times New Roman" w:hAnsi="Times New Roman" w:cs="Times New Roman"/>
          <w:sz w:val="24"/>
          <w:szCs w:val="24"/>
        </w:rPr>
        <w:t>%) e le vittime 1.</w:t>
      </w:r>
      <w:r>
        <w:rPr>
          <w:rFonts w:ascii="Times New Roman" w:hAnsi="Times New Roman" w:cs="Times New Roman"/>
          <w:sz w:val="24"/>
          <w:szCs w:val="24"/>
        </w:rPr>
        <w:t>621 (47,3</w:t>
      </w:r>
      <w:r w:rsidR="00140963">
        <w:rPr>
          <w:rFonts w:ascii="Times New Roman" w:hAnsi="Times New Roman" w:cs="Times New Roman"/>
          <w:sz w:val="24"/>
          <w:szCs w:val="24"/>
        </w:rPr>
        <w:t>%)</w:t>
      </w:r>
      <w:r w:rsidR="0024125C">
        <w:rPr>
          <w:rFonts w:ascii="Times New Roman" w:hAnsi="Times New Roman" w:cs="Times New Roman"/>
          <w:sz w:val="24"/>
          <w:szCs w:val="24"/>
        </w:rPr>
        <w:t xml:space="preserve"> (Tab</w:t>
      </w:r>
      <w:r w:rsidR="00856AB3">
        <w:rPr>
          <w:rFonts w:ascii="Times New Roman" w:hAnsi="Times New Roman" w:cs="Times New Roman"/>
          <w:sz w:val="24"/>
          <w:szCs w:val="24"/>
        </w:rPr>
        <w:t>.</w:t>
      </w:r>
      <w:r w:rsidR="0024125C">
        <w:rPr>
          <w:rFonts w:ascii="Times New Roman" w:hAnsi="Times New Roman" w:cs="Times New Roman"/>
          <w:sz w:val="24"/>
          <w:szCs w:val="24"/>
        </w:rPr>
        <w:t xml:space="preserve"> 1).</w:t>
      </w:r>
    </w:p>
    <w:p w:rsidR="00B35242" w:rsidRPr="006E4ED2" w:rsidRDefault="00B35242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ED2">
        <w:rPr>
          <w:rFonts w:ascii="Times New Roman" w:hAnsi="Times New Roman" w:cs="Times New Roman"/>
          <w:sz w:val="24"/>
          <w:szCs w:val="24"/>
        </w:rPr>
        <w:t xml:space="preserve">Rispetto al 2010, valore di benchmark per la decade 2011-2020, il guadagno in termini di riduzione del numero delle vittime è stato più </w:t>
      </w:r>
      <w:r w:rsidR="006E4ED2" w:rsidRPr="006E4ED2">
        <w:rPr>
          <w:rFonts w:ascii="Times New Roman" w:hAnsi="Times New Roman" w:cs="Times New Roman"/>
          <w:sz w:val="24"/>
          <w:szCs w:val="24"/>
        </w:rPr>
        <w:t>consistente sulle autostrade (-18</w:t>
      </w:r>
      <w:r w:rsidRPr="006E4ED2">
        <w:rPr>
          <w:rFonts w:ascii="Times New Roman" w:hAnsi="Times New Roman" w:cs="Times New Roman"/>
          <w:sz w:val="24"/>
          <w:szCs w:val="24"/>
        </w:rPr>
        <w:t>,</w:t>
      </w:r>
      <w:r w:rsidR="006E4ED2" w:rsidRPr="006E4ED2">
        <w:rPr>
          <w:rFonts w:ascii="Times New Roman" w:hAnsi="Times New Roman" w:cs="Times New Roman"/>
          <w:sz w:val="24"/>
          <w:szCs w:val="24"/>
        </w:rPr>
        <w:t>9</w:t>
      </w:r>
      <w:r w:rsidRPr="006E4ED2">
        <w:rPr>
          <w:rFonts w:ascii="Times New Roman" w:hAnsi="Times New Roman" w:cs="Times New Roman"/>
          <w:sz w:val="24"/>
          <w:szCs w:val="24"/>
        </w:rPr>
        <w:t>%), seguono le</w:t>
      </w:r>
      <w:r w:rsidR="00140963" w:rsidRPr="006E4ED2">
        <w:rPr>
          <w:rFonts w:ascii="Times New Roman" w:hAnsi="Times New Roman" w:cs="Times New Roman"/>
          <w:sz w:val="24"/>
          <w:szCs w:val="24"/>
        </w:rPr>
        <w:t xml:space="preserve"> strade extraurbane </w:t>
      </w:r>
      <w:r w:rsidR="006E4ED2" w:rsidRPr="006E4ED2">
        <w:rPr>
          <w:rFonts w:ascii="Times New Roman" w:hAnsi="Times New Roman" w:cs="Times New Roman"/>
          <w:sz w:val="24"/>
          <w:szCs w:val="24"/>
        </w:rPr>
        <w:t>(-17,1</w:t>
      </w:r>
      <w:r w:rsidRPr="006E4ED2">
        <w:rPr>
          <w:rFonts w:ascii="Times New Roman" w:hAnsi="Times New Roman" w:cs="Times New Roman"/>
          <w:sz w:val="24"/>
          <w:szCs w:val="24"/>
        </w:rPr>
        <w:t>%</w:t>
      </w:r>
      <w:r w:rsidR="00140963" w:rsidRPr="006E4ED2">
        <w:rPr>
          <w:rFonts w:ascii="Times New Roman" w:hAnsi="Times New Roman" w:cs="Times New Roman"/>
          <w:sz w:val="24"/>
          <w:szCs w:val="24"/>
        </w:rPr>
        <w:t>)</w:t>
      </w:r>
      <w:r w:rsidR="006E4ED2" w:rsidRPr="006E4ED2">
        <w:rPr>
          <w:rFonts w:ascii="Times New Roman" w:hAnsi="Times New Roman" w:cs="Times New Roman"/>
          <w:sz w:val="24"/>
          <w:szCs w:val="24"/>
        </w:rPr>
        <w:t xml:space="preserve"> e le strade urbane (-15,7</w:t>
      </w:r>
      <w:r w:rsidRPr="006E4ED2">
        <w:rPr>
          <w:rFonts w:ascii="Times New Roman" w:hAnsi="Times New Roman" w:cs="Times New Roman"/>
          <w:sz w:val="24"/>
          <w:szCs w:val="24"/>
        </w:rPr>
        <w:t xml:space="preserve">%). </w:t>
      </w:r>
    </w:p>
    <w:p w:rsidR="00B35242" w:rsidRPr="00B35242" w:rsidRDefault="00B35242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ED2">
        <w:rPr>
          <w:rFonts w:ascii="Times New Roman" w:hAnsi="Times New Roman" w:cs="Times New Roman"/>
          <w:sz w:val="24"/>
          <w:szCs w:val="24"/>
        </w:rPr>
        <w:t>L’indice di mortalità continua ad essere più elevato</w:t>
      </w:r>
      <w:r w:rsidRPr="00B35242">
        <w:rPr>
          <w:rFonts w:ascii="Times New Roman" w:hAnsi="Times New Roman" w:cs="Times New Roman"/>
          <w:sz w:val="24"/>
          <w:szCs w:val="24"/>
        </w:rPr>
        <w:t xml:space="preserve"> sulle strade extraurbane, dove si verificano 4,6 decessi ogni</w:t>
      </w:r>
      <w:r w:rsidR="00C731EB">
        <w:rPr>
          <w:rFonts w:ascii="Times New Roman" w:hAnsi="Times New Roman" w:cs="Times New Roman"/>
          <w:sz w:val="24"/>
          <w:szCs w:val="24"/>
        </w:rPr>
        <w:t xml:space="preserve"> 100 incidenti, si attesta a 3,3</w:t>
      </w:r>
      <w:r w:rsidRPr="00B35242">
        <w:rPr>
          <w:rFonts w:ascii="Times New Roman" w:hAnsi="Times New Roman" w:cs="Times New Roman"/>
          <w:sz w:val="24"/>
          <w:szCs w:val="24"/>
        </w:rPr>
        <w:t xml:space="preserve"> sulle autostrade mentre è </w:t>
      </w:r>
      <w:r w:rsidR="00140963">
        <w:rPr>
          <w:rFonts w:ascii="Times New Roman" w:hAnsi="Times New Roman" w:cs="Times New Roman"/>
          <w:sz w:val="24"/>
          <w:szCs w:val="24"/>
        </w:rPr>
        <w:t>pari a 1,</w:t>
      </w:r>
      <w:r w:rsidR="00C731EB">
        <w:rPr>
          <w:rFonts w:ascii="Times New Roman" w:hAnsi="Times New Roman" w:cs="Times New Roman"/>
          <w:sz w:val="24"/>
          <w:szCs w:val="24"/>
        </w:rPr>
        <w:t xml:space="preserve">2 </w:t>
      </w:r>
      <w:r w:rsidR="00140963">
        <w:rPr>
          <w:rFonts w:ascii="Times New Roman" w:hAnsi="Times New Roman" w:cs="Times New Roman"/>
          <w:sz w:val="24"/>
          <w:szCs w:val="24"/>
        </w:rPr>
        <w:t>sulle strade urbane</w:t>
      </w:r>
      <w:r w:rsidRPr="00B352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5242" w:rsidRDefault="00F901D4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ambito urbano r</w:t>
      </w:r>
      <w:r w:rsidR="00B35242" w:rsidRPr="00B35242">
        <w:rPr>
          <w:rFonts w:ascii="Times New Roman" w:hAnsi="Times New Roman" w:cs="Times New Roman"/>
          <w:sz w:val="24"/>
          <w:szCs w:val="24"/>
        </w:rPr>
        <w:t>ispetto al 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 si registra una riduzione degli incidenti con lesioni a persone</w:t>
      </w:r>
      <w:r>
        <w:rPr>
          <w:rFonts w:ascii="Times New Roman" w:hAnsi="Times New Roman" w:cs="Times New Roman"/>
          <w:sz w:val="24"/>
          <w:szCs w:val="24"/>
        </w:rPr>
        <w:t>,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 dei feriti</w:t>
      </w:r>
      <w:r>
        <w:rPr>
          <w:rFonts w:ascii="Times New Roman" w:hAnsi="Times New Roman" w:cs="Times New Roman"/>
          <w:sz w:val="24"/>
          <w:szCs w:val="24"/>
        </w:rPr>
        <w:t xml:space="preserve"> e anche delle vittime.</w:t>
      </w:r>
      <w:r w:rsidR="00752544">
        <w:rPr>
          <w:rFonts w:ascii="Times New Roman" w:hAnsi="Times New Roman" w:cs="Times New Roman"/>
          <w:sz w:val="24"/>
          <w:szCs w:val="24"/>
        </w:rPr>
        <w:t xml:space="preserve"> Sulle 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autostrade e </w:t>
      </w:r>
      <w:r w:rsidR="00752544">
        <w:rPr>
          <w:rFonts w:ascii="Times New Roman" w:hAnsi="Times New Roman" w:cs="Times New Roman"/>
          <w:sz w:val="24"/>
          <w:szCs w:val="24"/>
        </w:rPr>
        <w:t xml:space="preserve">sulle </w:t>
      </w:r>
      <w:r w:rsidR="00B35242" w:rsidRPr="00B35242">
        <w:rPr>
          <w:rFonts w:ascii="Times New Roman" w:hAnsi="Times New Roman" w:cs="Times New Roman"/>
          <w:sz w:val="24"/>
          <w:szCs w:val="24"/>
        </w:rPr>
        <w:t xml:space="preserve">strade extraurbane </w:t>
      </w:r>
      <w:r w:rsidR="00752544">
        <w:rPr>
          <w:rFonts w:ascii="Times New Roman" w:hAnsi="Times New Roman" w:cs="Times New Roman"/>
          <w:sz w:val="24"/>
          <w:szCs w:val="24"/>
        </w:rPr>
        <w:t>aumentano gli incidenti, i feriti e le vittime.</w:t>
      </w:r>
      <w:r w:rsidR="00B35242" w:rsidRPr="00B35242">
        <w:rPr>
          <w:rFonts w:ascii="Times New Roman" w:hAnsi="Times New Roman" w:cs="Times New Roman"/>
          <w:sz w:val="24"/>
          <w:szCs w:val="24"/>
        </w:rPr>
        <w:t>.</w:t>
      </w:r>
    </w:p>
    <w:p w:rsidR="000009A5" w:rsidRDefault="000009A5" w:rsidP="003807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242" w:rsidRDefault="00140963" w:rsidP="003807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Tab.</w:t>
      </w:r>
      <w:r w:rsidR="00856A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92BDA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140963">
        <w:rPr>
          <w:rFonts w:ascii="Times New Roman" w:hAnsi="Times New Roman" w:cs="Times New Roman"/>
          <w:b/>
          <w:sz w:val="24"/>
          <w:szCs w:val="24"/>
        </w:rPr>
        <w:t>Incidenti stradali con lesioni a persone secondo la categoria della strada</w:t>
      </w:r>
      <w:r w:rsidR="00E939E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939EA" w:rsidRPr="00E939EA">
        <w:rPr>
          <w:rFonts w:ascii="Times New Roman" w:hAnsi="Times New Roman" w:cs="Times New Roman"/>
          <w:b/>
          <w:sz w:val="24"/>
          <w:szCs w:val="24"/>
        </w:rPr>
        <w:t>Anno 201</w:t>
      </w:r>
      <w:r w:rsidR="008F022E">
        <w:rPr>
          <w:rFonts w:ascii="Times New Roman" w:hAnsi="Times New Roman" w:cs="Times New Roman"/>
          <w:b/>
          <w:sz w:val="24"/>
          <w:szCs w:val="24"/>
        </w:rPr>
        <w:t>5</w:t>
      </w:r>
      <w:r w:rsidR="00E939EA" w:rsidRPr="00E939EA">
        <w:rPr>
          <w:rFonts w:ascii="Times New Roman" w:hAnsi="Times New Roman" w:cs="Times New Roman"/>
          <w:b/>
          <w:sz w:val="24"/>
          <w:szCs w:val="24"/>
        </w:rPr>
        <w:t>, valori assoluti, indice di mortalità e variazioni percentuali 201</w:t>
      </w:r>
      <w:r w:rsidR="008F022E">
        <w:rPr>
          <w:rFonts w:ascii="Times New Roman" w:hAnsi="Times New Roman" w:cs="Times New Roman"/>
          <w:b/>
          <w:sz w:val="24"/>
          <w:szCs w:val="24"/>
        </w:rPr>
        <w:t>5/2014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78"/>
        <w:gridCol w:w="878"/>
        <w:gridCol w:w="879"/>
        <w:gridCol w:w="1205"/>
        <w:gridCol w:w="1346"/>
        <w:gridCol w:w="1134"/>
        <w:gridCol w:w="1134"/>
      </w:tblGrid>
      <w:tr w:rsidR="000A1B96" w:rsidRPr="000A1B96" w:rsidTr="000009A5">
        <w:trPr>
          <w:trHeight w:val="290"/>
        </w:trPr>
        <w:tc>
          <w:tcPr>
            <w:tcW w:w="220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Categoria della strada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Incidenti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Morti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Feriti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Indice di   mortalità </w:t>
            </w: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(a)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Var.% Incidenti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Var.%  Morti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Var.%  Feriti</w:t>
            </w:r>
          </w:p>
        </w:tc>
      </w:tr>
      <w:tr w:rsidR="000A1B96" w:rsidRPr="000A1B96" w:rsidTr="000009A5">
        <w:trPr>
          <w:trHeight w:val="225"/>
        </w:trPr>
        <w:tc>
          <w:tcPr>
            <w:tcW w:w="220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2015/2014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2015/2014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2015/2014</w:t>
            </w:r>
          </w:p>
        </w:tc>
      </w:tr>
      <w:tr w:rsidR="000A1B96" w:rsidRPr="000A1B96" w:rsidTr="000009A5">
        <w:trPr>
          <w:trHeight w:val="22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Strade urbane (b)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130.457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1.502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175.156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1,2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ED2499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-</w:t>
            </w:r>
            <w:r w:rsidR="000A1B96"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2,4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ED2499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-</w:t>
            </w:r>
            <w:r w:rsidR="000A1B96"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0,2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-2,9</w:t>
            </w:r>
          </w:p>
        </w:tc>
      </w:tr>
      <w:tr w:rsidR="000A1B96" w:rsidRPr="000A1B96" w:rsidTr="000009A5">
        <w:trPr>
          <w:trHeight w:val="22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Autostrade e raccordi 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9.179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305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15.850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3,3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ED2499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</w:t>
            </w:r>
            <w:r w:rsidR="005C779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+</w:t>
            </w:r>
            <w:r w:rsidR="000A1B96"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0,3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</w:t>
            </w:r>
            <w:r w:rsidR="005C779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+</w:t>
            </w: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6,3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5C7798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+</w:t>
            </w:r>
            <w:r w:rsidR="000A1B96"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3,7</w:t>
            </w:r>
          </w:p>
        </w:tc>
      </w:tr>
      <w:tr w:rsidR="000A1B96" w:rsidRPr="000A1B96" w:rsidTr="000009A5">
        <w:trPr>
          <w:trHeight w:val="22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Altre strade (b)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34.903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1.621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55.914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4,6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</w:t>
            </w:r>
            <w:r w:rsidR="005C779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+</w:t>
            </w: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1,8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</w:t>
            </w:r>
            <w:r w:rsidR="005C779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+</w:t>
            </w: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2,0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5C7798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+</w:t>
            </w:r>
            <w:r w:rsidR="000A1B96"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1,0</w:t>
            </w:r>
          </w:p>
        </w:tc>
      </w:tr>
      <w:tr w:rsidR="000A1B96" w:rsidRPr="000A1B96" w:rsidTr="000009A5">
        <w:trPr>
          <w:trHeight w:val="225"/>
        </w:trPr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174.539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3.428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246.920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1B96" w:rsidRPr="000A1B96" w:rsidRDefault="000A1B96" w:rsidP="000A1B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2,0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ED2499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-</w:t>
            </w:r>
            <w:r w:rsidR="000A1B96"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1,4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</w:t>
            </w:r>
            <w:r w:rsidR="005C779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+</w:t>
            </w: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1,4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1B96" w:rsidRPr="000A1B96" w:rsidRDefault="000A1B96" w:rsidP="000A1B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A1B9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-1,7</w:t>
            </w:r>
          </w:p>
        </w:tc>
      </w:tr>
    </w:tbl>
    <w:p w:rsidR="00140963" w:rsidRPr="00380794" w:rsidRDefault="00140963" w:rsidP="0038079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80794">
        <w:rPr>
          <w:rFonts w:ascii="Times New Roman" w:hAnsi="Times New Roman" w:cs="Times New Roman"/>
          <w:sz w:val="18"/>
          <w:szCs w:val="18"/>
        </w:rPr>
        <w:t xml:space="preserve">(a) Rapporto tra il numero dei morti e il numero degli incidenti con lesioni a persone, moltiplicato 100. </w:t>
      </w:r>
    </w:p>
    <w:p w:rsidR="00664698" w:rsidRPr="00380794" w:rsidRDefault="00140963" w:rsidP="0038079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80794">
        <w:rPr>
          <w:rFonts w:ascii="Times New Roman" w:hAnsi="Times New Roman" w:cs="Times New Roman"/>
          <w:sz w:val="18"/>
          <w:szCs w:val="18"/>
        </w:rPr>
        <w:t>(b)</w:t>
      </w:r>
      <w:r w:rsidR="00B1268F">
        <w:rPr>
          <w:rFonts w:ascii="Times New Roman" w:hAnsi="Times New Roman" w:cs="Times New Roman"/>
          <w:sz w:val="18"/>
          <w:szCs w:val="18"/>
        </w:rPr>
        <w:t xml:space="preserve"> </w:t>
      </w:r>
      <w:r w:rsidRPr="00380794">
        <w:rPr>
          <w:rFonts w:ascii="Times New Roman" w:hAnsi="Times New Roman" w:cs="Times New Roman"/>
          <w:sz w:val="18"/>
          <w:szCs w:val="18"/>
        </w:rPr>
        <w:t>Sono incluse nella categoria “Strade urbane” anche le Provinciali, Statali e Regionali entro l’abitato. Sono incluse nella categoria “Altre strade”, le strade Statali, Regionali e Provinciali fuori dall’abitato e Comunali extraurbane.</w:t>
      </w:r>
    </w:p>
    <w:p w:rsidR="0002767C" w:rsidRPr="00380794" w:rsidRDefault="0002767C" w:rsidP="0038079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80794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380794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380794" w:rsidRDefault="00380794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0794" w:rsidRPr="00F60DA4" w:rsidRDefault="00FD6383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383">
        <w:rPr>
          <w:rFonts w:ascii="Times New Roman" w:hAnsi="Times New Roman" w:cs="Times New Roman"/>
          <w:sz w:val="24"/>
          <w:szCs w:val="24"/>
        </w:rPr>
        <w:t xml:space="preserve">Le vittime di incidenti </w:t>
      </w:r>
      <w:r w:rsidRPr="00F60DA4">
        <w:rPr>
          <w:rFonts w:ascii="Times New Roman" w:hAnsi="Times New Roman" w:cs="Times New Roman"/>
          <w:sz w:val="24"/>
          <w:szCs w:val="24"/>
        </w:rPr>
        <w:t xml:space="preserve">stradali </w:t>
      </w:r>
      <w:r w:rsidR="00470B6B" w:rsidRPr="00F60DA4">
        <w:rPr>
          <w:rFonts w:ascii="Times New Roman" w:hAnsi="Times New Roman" w:cs="Times New Roman"/>
          <w:sz w:val="24"/>
          <w:szCs w:val="24"/>
        </w:rPr>
        <w:t>nel 2015 sono state 3.428, di cui 2.759 maschi e 669 femmine.</w:t>
      </w:r>
    </w:p>
    <w:p w:rsidR="00FD6383" w:rsidRPr="00164807" w:rsidRDefault="00881548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0DA4">
        <w:rPr>
          <w:rFonts w:ascii="Times New Roman" w:hAnsi="Times New Roman" w:cs="Times New Roman"/>
          <w:sz w:val="24"/>
          <w:szCs w:val="24"/>
        </w:rPr>
        <w:t xml:space="preserve">I conducenti deceduti sono 2.349 </w:t>
      </w:r>
      <w:r w:rsidR="00FD6383" w:rsidRPr="00F60DA4">
        <w:rPr>
          <w:rFonts w:ascii="Times New Roman" w:hAnsi="Times New Roman" w:cs="Times New Roman"/>
          <w:sz w:val="24"/>
          <w:szCs w:val="24"/>
        </w:rPr>
        <w:t>(2.</w:t>
      </w:r>
      <w:r w:rsidRPr="00F60DA4">
        <w:rPr>
          <w:rFonts w:ascii="Times New Roman" w:hAnsi="Times New Roman" w:cs="Times New Roman"/>
          <w:sz w:val="24"/>
          <w:szCs w:val="24"/>
        </w:rPr>
        <w:t>103</w:t>
      </w:r>
      <w:r w:rsidR="00FD6383" w:rsidRPr="00F60DA4">
        <w:rPr>
          <w:rFonts w:ascii="Times New Roman" w:hAnsi="Times New Roman" w:cs="Times New Roman"/>
          <w:sz w:val="24"/>
          <w:szCs w:val="24"/>
        </w:rPr>
        <w:t xml:space="preserve"> uomini e 24</w:t>
      </w:r>
      <w:r w:rsidRPr="00F60DA4">
        <w:rPr>
          <w:rFonts w:ascii="Times New Roman" w:hAnsi="Times New Roman" w:cs="Times New Roman"/>
          <w:sz w:val="24"/>
          <w:szCs w:val="24"/>
        </w:rPr>
        <w:t>6</w:t>
      </w:r>
      <w:r w:rsidR="00FD6383" w:rsidRPr="00F60DA4">
        <w:rPr>
          <w:rFonts w:ascii="Times New Roman" w:hAnsi="Times New Roman" w:cs="Times New Roman"/>
          <w:sz w:val="24"/>
          <w:szCs w:val="24"/>
        </w:rPr>
        <w:t xml:space="preserve"> donne), i passeggeri </w:t>
      </w:r>
      <w:r w:rsidRPr="00F60DA4">
        <w:rPr>
          <w:rFonts w:ascii="Times New Roman" w:hAnsi="Times New Roman" w:cs="Times New Roman"/>
          <w:sz w:val="24"/>
          <w:szCs w:val="24"/>
        </w:rPr>
        <w:t>477 (26</w:t>
      </w:r>
      <w:r w:rsidR="00FD6383" w:rsidRPr="00F60DA4">
        <w:rPr>
          <w:rFonts w:ascii="Times New Roman" w:hAnsi="Times New Roman" w:cs="Times New Roman"/>
          <w:sz w:val="24"/>
          <w:szCs w:val="24"/>
        </w:rPr>
        <w:t xml:space="preserve">9 uomini </w:t>
      </w:r>
      <w:r w:rsidR="00FD6383" w:rsidRPr="00881548">
        <w:rPr>
          <w:rFonts w:ascii="Times New Roman" w:hAnsi="Times New Roman" w:cs="Times New Roman"/>
          <w:sz w:val="24"/>
          <w:szCs w:val="24"/>
        </w:rPr>
        <w:t>e 2</w:t>
      </w:r>
      <w:r w:rsidRPr="00881548">
        <w:rPr>
          <w:rFonts w:ascii="Times New Roman" w:hAnsi="Times New Roman" w:cs="Times New Roman"/>
          <w:sz w:val="24"/>
          <w:szCs w:val="24"/>
        </w:rPr>
        <w:t>08 donne) e i pedoni 602</w:t>
      </w:r>
      <w:r w:rsidR="00FD6383" w:rsidRPr="00881548">
        <w:rPr>
          <w:rFonts w:ascii="Times New Roman" w:hAnsi="Times New Roman" w:cs="Times New Roman"/>
          <w:sz w:val="24"/>
          <w:szCs w:val="24"/>
        </w:rPr>
        <w:t xml:space="preserve"> (3</w:t>
      </w:r>
      <w:r w:rsidRPr="00881548">
        <w:rPr>
          <w:rFonts w:ascii="Times New Roman" w:hAnsi="Times New Roman" w:cs="Times New Roman"/>
          <w:sz w:val="24"/>
          <w:szCs w:val="24"/>
        </w:rPr>
        <w:t>87</w:t>
      </w:r>
      <w:r w:rsidR="00FD6383" w:rsidRPr="00881548">
        <w:rPr>
          <w:rFonts w:ascii="Times New Roman" w:hAnsi="Times New Roman" w:cs="Times New Roman"/>
          <w:sz w:val="24"/>
          <w:szCs w:val="24"/>
        </w:rPr>
        <w:t xml:space="preserve"> uomini e 2</w:t>
      </w:r>
      <w:r w:rsidRPr="00881548">
        <w:rPr>
          <w:rFonts w:ascii="Times New Roman" w:hAnsi="Times New Roman" w:cs="Times New Roman"/>
          <w:sz w:val="24"/>
          <w:szCs w:val="24"/>
        </w:rPr>
        <w:t>15</w:t>
      </w:r>
      <w:r w:rsidR="00FD6383" w:rsidRPr="00881548">
        <w:rPr>
          <w:rFonts w:ascii="Times New Roman" w:hAnsi="Times New Roman" w:cs="Times New Roman"/>
          <w:sz w:val="24"/>
          <w:szCs w:val="24"/>
        </w:rPr>
        <w:t xml:space="preserve"> donne). Per gli uomini, la classe di età con il maggior numero di decessi è quella tra i 20 e 24 anni (219)</w:t>
      </w:r>
      <w:r w:rsidR="00755490" w:rsidRPr="00881548">
        <w:rPr>
          <w:rFonts w:ascii="Times New Roman" w:hAnsi="Times New Roman" w:cs="Times New Roman"/>
          <w:sz w:val="24"/>
          <w:szCs w:val="24"/>
        </w:rPr>
        <w:t xml:space="preserve"> (Tab. 2).</w:t>
      </w:r>
      <w:r w:rsidR="00FD6383" w:rsidRPr="00881548">
        <w:rPr>
          <w:rFonts w:ascii="Times New Roman" w:hAnsi="Times New Roman" w:cs="Times New Roman"/>
          <w:sz w:val="24"/>
          <w:szCs w:val="24"/>
        </w:rPr>
        <w:t xml:space="preserve"> Valori molto elevati si riscontrano anche in corrispondenza delle</w:t>
      </w:r>
      <w:r w:rsidR="00FD6383" w:rsidRPr="00164807">
        <w:rPr>
          <w:rFonts w:ascii="Times New Roman" w:hAnsi="Times New Roman" w:cs="Times New Roman"/>
          <w:sz w:val="24"/>
          <w:szCs w:val="24"/>
        </w:rPr>
        <w:t xml:space="preserve"> fasce di età 25-29 anni (195) e 45-49 anni (206). Per le donne, il numero maggiore di vittime si registra fra le 20-24enni (49) e nelle età più anziane 75-79 e 80-84 anni (rispettivamente 65 e 57). In quest’ultimo caso la frequenza elevata in corrispondenza delle età più avanzate è attribuibile al maggiore coinvolgimento delle donne in incidenti stradali nel ruolo di pedone. Per quanto riguarda i feriti in incidenti stradali, le età per le quali si registrano frequenze più elevate, per entrambi i generi, sono quelle comprese tra i 20 e i 29 anni e tra 40 e 44 anni. </w:t>
      </w:r>
    </w:p>
    <w:p w:rsidR="00DD78D0" w:rsidRPr="00164807" w:rsidRDefault="00FD6383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4807">
        <w:rPr>
          <w:rFonts w:ascii="Times New Roman" w:hAnsi="Times New Roman" w:cs="Times New Roman"/>
          <w:sz w:val="24"/>
          <w:szCs w:val="24"/>
        </w:rPr>
        <w:t>Nel 201</w:t>
      </w:r>
      <w:r w:rsidR="002B70F3">
        <w:rPr>
          <w:rFonts w:ascii="Times New Roman" w:hAnsi="Times New Roman" w:cs="Times New Roman"/>
          <w:sz w:val="24"/>
          <w:szCs w:val="24"/>
        </w:rPr>
        <w:t>5</w:t>
      </w:r>
      <w:r w:rsidRPr="00164807">
        <w:rPr>
          <w:rFonts w:ascii="Times New Roman" w:hAnsi="Times New Roman" w:cs="Times New Roman"/>
          <w:sz w:val="24"/>
          <w:szCs w:val="24"/>
        </w:rPr>
        <w:t>, le vittime della strada aumentano in misura</w:t>
      </w:r>
      <w:r w:rsidR="002B70F3">
        <w:rPr>
          <w:rFonts w:ascii="Times New Roman" w:hAnsi="Times New Roman" w:cs="Times New Roman"/>
          <w:sz w:val="24"/>
          <w:szCs w:val="24"/>
        </w:rPr>
        <w:t xml:space="preserve"> consistente nelle classi di età adulte 30-34 anni, 45-49 anni e 50-54 anni (rispettivamente +16,0%, +11,0% e 12,9%) e nella classe di età anziana 80-84 anni (+11,0%). </w:t>
      </w:r>
    </w:p>
    <w:p w:rsidR="00DD78D0" w:rsidRDefault="00DD78D0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6383" w:rsidRDefault="00FD6383" w:rsidP="003807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702A">
        <w:rPr>
          <w:rFonts w:ascii="Times New Roman" w:hAnsi="Times New Roman" w:cs="Times New Roman"/>
          <w:b/>
          <w:sz w:val="24"/>
          <w:szCs w:val="24"/>
        </w:rPr>
        <w:t>Tab.</w:t>
      </w:r>
      <w:r w:rsidR="00856AB3" w:rsidRPr="008570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702A">
        <w:rPr>
          <w:rFonts w:ascii="Times New Roman" w:hAnsi="Times New Roman" w:cs="Times New Roman"/>
          <w:b/>
          <w:sz w:val="24"/>
          <w:szCs w:val="24"/>
        </w:rPr>
        <w:t>2</w:t>
      </w:r>
      <w:r w:rsidR="00A92BDA" w:rsidRPr="0085702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85702A">
        <w:rPr>
          <w:rFonts w:ascii="Times New Roman" w:hAnsi="Times New Roman" w:cs="Times New Roman"/>
          <w:b/>
          <w:sz w:val="24"/>
          <w:szCs w:val="24"/>
        </w:rPr>
        <w:t xml:space="preserve"> Morti e feriti in incidenti stradali per sesso e classe di età. Anno 201</w:t>
      </w:r>
      <w:r w:rsidR="0085702A" w:rsidRPr="0085702A">
        <w:rPr>
          <w:rFonts w:ascii="Times New Roman" w:hAnsi="Times New Roman" w:cs="Times New Roman"/>
          <w:b/>
          <w:sz w:val="24"/>
          <w:szCs w:val="24"/>
        </w:rPr>
        <w:t>5</w:t>
      </w:r>
      <w:r w:rsidR="0002767C" w:rsidRPr="0085702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85702A">
        <w:rPr>
          <w:rFonts w:ascii="Times New Roman" w:hAnsi="Times New Roman" w:cs="Times New Roman"/>
          <w:b/>
          <w:sz w:val="24"/>
          <w:szCs w:val="24"/>
        </w:rPr>
        <w:t>valori assoluti</w:t>
      </w:r>
      <w:r w:rsidR="0002767C" w:rsidRPr="0085702A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8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120"/>
        <w:gridCol w:w="1120"/>
        <w:gridCol w:w="1120"/>
        <w:gridCol w:w="1120"/>
        <w:gridCol w:w="1120"/>
        <w:gridCol w:w="1120"/>
      </w:tblGrid>
      <w:tr w:rsidR="00DD1286" w:rsidRPr="00DD1286" w:rsidTr="00DD1286">
        <w:trPr>
          <w:trHeight w:val="255"/>
        </w:trPr>
        <w:tc>
          <w:tcPr>
            <w:tcW w:w="14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1286" w:rsidRPr="00DD1286" w:rsidRDefault="00DD1286" w:rsidP="00DD1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CLASSE DI ETA’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1286" w:rsidRPr="00DD1286" w:rsidRDefault="00DD1286" w:rsidP="00DD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Morti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1286" w:rsidRPr="00DD1286" w:rsidRDefault="00DD1286" w:rsidP="00DD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Feriti</w:t>
            </w:r>
          </w:p>
        </w:tc>
      </w:tr>
      <w:tr w:rsidR="00DD1286" w:rsidRPr="00DD1286" w:rsidTr="001E5F1E">
        <w:trPr>
          <w:trHeight w:val="275"/>
        </w:trPr>
        <w:tc>
          <w:tcPr>
            <w:tcW w:w="14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D1286" w:rsidRPr="00DD1286" w:rsidRDefault="00DD1286" w:rsidP="00DD1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286" w:rsidRPr="00DD1286" w:rsidRDefault="00DD1286" w:rsidP="00DD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Maschi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286" w:rsidRPr="00DD1286" w:rsidRDefault="00DD1286" w:rsidP="00DD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Femmine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286" w:rsidRPr="00DD1286" w:rsidRDefault="001E5F1E" w:rsidP="001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286" w:rsidRPr="00DD1286" w:rsidRDefault="00DD1286" w:rsidP="00DD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Maschi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286" w:rsidRPr="00DD1286" w:rsidRDefault="00DD1286" w:rsidP="00DD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Femmine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286" w:rsidRPr="00DD1286" w:rsidRDefault="001E5F1E" w:rsidP="001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Totale</w:t>
            </w:r>
          </w:p>
        </w:tc>
      </w:tr>
      <w:tr w:rsidR="00DD1286" w:rsidRPr="00DD1286" w:rsidTr="001E5F1E">
        <w:trPr>
          <w:trHeight w:val="124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0 - 4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13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17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1.515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1.328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2.843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5-9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10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1.925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1.609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3.534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10-14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12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2.825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2.238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5.063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15 -19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129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23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152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11.829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6.889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18.718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20 -24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238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46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284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16.651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10.380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27.031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25 -29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185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41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226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14.632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9.714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24.346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30 - 34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195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23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218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13.271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8.357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21.628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35 - 39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177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33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210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12.939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8.177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21.116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40 - 44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203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38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241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13.893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8.813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22.706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45 - 49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233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40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273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12.857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8.376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21.233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50 -54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207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32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239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11.668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7.463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19.131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55 -59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176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34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210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8.691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5.583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14.274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60 -64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157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40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197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6.442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4.084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10.526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65 -69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157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42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199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5.394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3.671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9.065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70 - 74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154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56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210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4.185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2.840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7.025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75 - 79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185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57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242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4.049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2.675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6.724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80 - 84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168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75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243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2.681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1.645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4.326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85 - 89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93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41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134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1.216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719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1.935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90 +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38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22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60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302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191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493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Non indicata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36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15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51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2.815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2.388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5.203 </w:t>
            </w:r>
          </w:p>
        </w:tc>
      </w:tr>
      <w:tr w:rsidR="00DD1286" w:rsidRPr="00DD1286" w:rsidTr="001E5F1E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2.759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   669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3.428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149.780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97.140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1286" w:rsidRPr="00DD1286" w:rsidRDefault="00DD1286" w:rsidP="001E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DD12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246.920 </w:t>
            </w:r>
          </w:p>
        </w:tc>
      </w:tr>
    </w:tbl>
    <w:p w:rsidR="00FD6383" w:rsidRPr="00380794" w:rsidRDefault="00FD6383" w:rsidP="00380794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right="28" w:firstLine="0"/>
        <w:jc w:val="both"/>
        <w:rPr>
          <w:rFonts w:ascii="Times New Roman" w:hAnsi="Times New Roman" w:cs="Times New Roman"/>
          <w:sz w:val="18"/>
          <w:szCs w:val="18"/>
        </w:rPr>
      </w:pPr>
      <w:r w:rsidRPr="00380794">
        <w:rPr>
          <w:rFonts w:ascii="Times New Roman" w:hAnsi="Times New Roman" w:cs="Times New Roman"/>
          <w:sz w:val="18"/>
          <w:szCs w:val="18"/>
        </w:rPr>
        <w:t>Tra le classi della variabile età, è inclusa anche la modalità “imprecisata o non indicata”. Nella rilevazione degli incidenti stradali con lesioni a persone, infatti, sono conteggiati, per ciascun incidente, anche gli occupanti degli altri veicoli coinvolti oltre il terzo; per questi individui, dei quali si conosce solo l’esito e la numerosità, non si rilevano le caratteristiche anagrafiche, tra cui l’età.</w:t>
      </w:r>
    </w:p>
    <w:p w:rsidR="0002767C" w:rsidRPr="00380794" w:rsidRDefault="0002767C" w:rsidP="00380794">
      <w:pPr>
        <w:spacing w:after="0" w:line="240" w:lineRule="auto"/>
        <w:ind w:right="28"/>
        <w:jc w:val="both"/>
        <w:rPr>
          <w:rFonts w:ascii="Times New Roman" w:hAnsi="Times New Roman" w:cs="Times New Roman"/>
          <w:sz w:val="18"/>
          <w:szCs w:val="18"/>
        </w:rPr>
      </w:pPr>
      <w:r w:rsidRPr="00380794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380794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DD78D0" w:rsidRPr="00DD78D0" w:rsidRDefault="00DD78D0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L’analisi per classi di età evidenzia</w:t>
      </w:r>
      <w:r w:rsidR="001E5F1E">
        <w:rPr>
          <w:rFonts w:ascii="Times New Roman" w:hAnsi="Times New Roman" w:cs="Times New Roman"/>
          <w:sz w:val="24"/>
          <w:szCs w:val="24"/>
        </w:rPr>
        <w:t xml:space="preserve"> risultati interessanti</w:t>
      </w:r>
      <w:r w:rsidR="006875A7">
        <w:rPr>
          <w:rFonts w:ascii="Times New Roman" w:hAnsi="Times New Roman" w:cs="Times New Roman"/>
          <w:sz w:val="24"/>
          <w:szCs w:val="24"/>
        </w:rPr>
        <w:t xml:space="preserve"> soprattutto per i</w:t>
      </w:r>
      <w:r w:rsidRPr="00DD78D0">
        <w:rPr>
          <w:rFonts w:ascii="Times New Roman" w:hAnsi="Times New Roman" w:cs="Times New Roman"/>
          <w:sz w:val="24"/>
          <w:szCs w:val="24"/>
        </w:rPr>
        <w:t xml:space="preserve"> bambini</w:t>
      </w:r>
      <w:r w:rsidRPr="00DD78D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DD78D0">
        <w:rPr>
          <w:rFonts w:ascii="Times New Roman" w:hAnsi="Times New Roman" w:cs="Times New Roman"/>
          <w:sz w:val="24"/>
          <w:szCs w:val="24"/>
        </w:rPr>
        <w:t>, categoria particolarmente a rischio poiché non sempre prot</w:t>
      </w:r>
      <w:r w:rsidR="001E5F1E">
        <w:rPr>
          <w:rFonts w:ascii="Times New Roman" w:hAnsi="Times New Roman" w:cs="Times New Roman"/>
          <w:sz w:val="24"/>
          <w:szCs w:val="24"/>
        </w:rPr>
        <w:t>etta accuratamente dagli adulti, responsabili per l’uso di</w:t>
      </w:r>
      <w:r w:rsidRPr="00DD78D0">
        <w:rPr>
          <w:rFonts w:ascii="Times New Roman" w:hAnsi="Times New Roman" w:cs="Times New Roman"/>
          <w:sz w:val="24"/>
          <w:szCs w:val="24"/>
        </w:rPr>
        <w:t xml:space="preserve"> dispositivi di sicurezza adeguati. A seguito della definizione degli obiettivi strategici internazionali per la decade 2011-2020, il Piano Nazionale per la Sicurezza Stradale (PNSS Orizzonte 2020), predisposto dal Ministero delle Infrastrutture e dei Trasporti, ha adottato la “</w:t>
      </w:r>
      <w:proofErr w:type="spellStart"/>
      <w:r w:rsidRPr="00DD78D0">
        <w:rPr>
          <w:rFonts w:ascii="Times New Roman" w:hAnsi="Times New Roman" w:cs="Times New Roman"/>
          <w:sz w:val="24"/>
          <w:szCs w:val="24"/>
        </w:rPr>
        <w:t>vision</w:t>
      </w:r>
      <w:proofErr w:type="spellEnd"/>
      <w:r w:rsidRPr="00DD78D0">
        <w:rPr>
          <w:rFonts w:ascii="Times New Roman" w:hAnsi="Times New Roman" w:cs="Times New Roman"/>
          <w:sz w:val="24"/>
          <w:szCs w:val="24"/>
        </w:rPr>
        <w:t xml:space="preserve">” di lungo termine “Sulla strada: Nessun bambino deve morire”. Nonostante l’attenzione per questi soggetti sia molto alta, l’Italia si sta avvicinando lentamente all’obiettivo di azzerare la mortalità sulle strade dei bambini. </w:t>
      </w:r>
    </w:p>
    <w:p w:rsidR="00DD78D0" w:rsidRDefault="00DD78D0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78D0">
        <w:rPr>
          <w:rFonts w:ascii="Times New Roman" w:hAnsi="Times New Roman" w:cs="Times New Roman"/>
          <w:sz w:val="24"/>
          <w:szCs w:val="24"/>
        </w:rPr>
        <w:t>Ancora nel 201</w:t>
      </w:r>
      <w:r w:rsidR="00E1509B">
        <w:rPr>
          <w:rFonts w:ascii="Times New Roman" w:hAnsi="Times New Roman" w:cs="Times New Roman"/>
          <w:sz w:val="24"/>
          <w:szCs w:val="24"/>
        </w:rPr>
        <w:t>5</w:t>
      </w:r>
      <w:r w:rsidRPr="00DD78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infatti, </w:t>
      </w:r>
      <w:r w:rsidRPr="00DD78D0">
        <w:rPr>
          <w:rFonts w:ascii="Times New Roman" w:hAnsi="Times New Roman" w:cs="Times New Roman"/>
          <w:sz w:val="24"/>
          <w:szCs w:val="24"/>
        </w:rPr>
        <w:t xml:space="preserve">sono state </w:t>
      </w:r>
      <w:r w:rsidRPr="00F60DA4">
        <w:rPr>
          <w:rFonts w:ascii="Times New Roman" w:hAnsi="Times New Roman" w:cs="Times New Roman"/>
          <w:sz w:val="24"/>
          <w:szCs w:val="24"/>
        </w:rPr>
        <w:t xml:space="preserve">registrate </w:t>
      </w:r>
      <w:r w:rsidR="00E1509B" w:rsidRPr="00F60DA4">
        <w:rPr>
          <w:rFonts w:ascii="Times New Roman" w:hAnsi="Times New Roman" w:cs="Times New Roman"/>
          <w:sz w:val="24"/>
          <w:szCs w:val="24"/>
        </w:rPr>
        <w:t>39</w:t>
      </w:r>
      <w:r w:rsidRPr="00F60DA4">
        <w:rPr>
          <w:rFonts w:ascii="Times New Roman" w:hAnsi="Times New Roman" w:cs="Times New Roman"/>
          <w:sz w:val="24"/>
          <w:szCs w:val="24"/>
        </w:rPr>
        <w:t xml:space="preserve"> vittime fra 0 e 14 anni, di cui </w:t>
      </w:r>
      <w:r w:rsidR="003B790C" w:rsidRPr="00F60DA4">
        <w:rPr>
          <w:rFonts w:ascii="Times New Roman" w:hAnsi="Times New Roman" w:cs="Times New Roman"/>
          <w:sz w:val="24"/>
          <w:szCs w:val="24"/>
        </w:rPr>
        <w:t>17</w:t>
      </w:r>
      <w:r w:rsidRPr="00F60DA4">
        <w:rPr>
          <w:rFonts w:ascii="Times New Roman" w:hAnsi="Times New Roman" w:cs="Times New Roman"/>
          <w:sz w:val="24"/>
          <w:szCs w:val="24"/>
        </w:rPr>
        <w:t xml:space="preserve"> tra 0 e </w:t>
      </w:r>
      <w:r w:rsidR="004E33AB" w:rsidRPr="00F60DA4">
        <w:rPr>
          <w:rFonts w:ascii="Times New Roman" w:hAnsi="Times New Roman" w:cs="Times New Roman"/>
          <w:sz w:val="24"/>
          <w:szCs w:val="24"/>
        </w:rPr>
        <w:t>4</w:t>
      </w:r>
      <w:r w:rsidRPr="00F60DA4">
        <w:rPr>
          <w:rFonts w:ascii="Times New Roman" w:hAnsi="Times New Roman" w:cs="Times New Roman"/>
          <w:sz w:val="24"/>
          <w:szCs w:val="24"/>
        </w:rPr>
        <w:t xml:space="preserve"> anni; i feriti sono stati 1</w:t>
      </w:r>
      <w:r w:rsidR="00E1509B" w:rsidRPr="00F60DA4">
        <w:rPr>
          <w:rFonts w:ascii="Times New Roman" w:hAnsi="Times New Roman" w:cs="Times New Roman"/>
          <w:sz w:val="24"/>
          <w:szCs w:val="24"/>
        </w:rPr>
        <w:t>1.440</w:t>
      </w:r>
      <w:r w:rsidRPr="00F60DA4">
        <w:rPr>
          <w:rFonts w:ascii="Times New Roman" w:hAnsi="Times New Roman" w:cs="Times New Roman"/>
          <w:sz w:val="24"/>
          <w:szCs w:val="24"/>
        </w:rPr>
        <w:t xml:space="preserve"> di cui </w:t>
      </w:r>
      <w:r w:rsidR="003B790C" w:rsidRPr="00F60DA4">
        <w:rPr>
          <w:rFonts w:ascii="Times New Roman" w:hAnsi="Times New Roman" w:cs="Times New Roman"/>
          <w:sz w:val="24"/>
          <w:szCs w:val="24"/>
        </w:rPr>
        <w:t>2.843 tra 0 e 4</w:t>
      </w:r>
      <w:r w:rsidRPr="00F60DA4">
        <w:rPr>
          <w:rFonts w:ascii="Times New Roman" w:hAnsi="Times New Roman" w:cs="Times New Roman"/>
          <w:sz w:val="24"/>
          <w:szCs w:val="24"/>
        </w:rPr>
        <w:t xml:space="preserve"> anni. Tuttavia, le campagne </w:t>
      </w:r>
      <w:r w:rsidRPr="00DD78D0">
        <w:rPr>
          <w:rFonts w:ascii="Times New Roman" w:hAnsi="Times New Roman" w:cs="Times New Roman"/>
          <w:sz w:val="24"/>
          <w:szCs w:val="24"/>
        </w:rPr>
        <w:t>di sensibilizzazione all’utilizzo dei dispositivi di sicurezza messe in campo negli ultimi anni hanno sicuramente avuto efficacia: nella classe di età 0-14 anni le vittime erano 187 nel 2001 e 70 nel 2010, mentre i feriti 13.886 e 12.382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78D0" w:rsidRDefault="00DD78D0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Analizzando le vittime per ruolo e tipologia degli utenti della strada, emerge, come di consueto, che</w:t>
      </w:r>
      <w:r w:rsidR="0024125C" w:rsidRPr="0024125C">
        <w:rPr>
          <w:rFonts w:ascii="Times New Roman" w:hAnsi="Times New Roman" w:cs="Times New Roman"/>
          <w:sz w:val="24"/>
          <w:szCs w:val="24"/>
        </w:rPr>
        <w:t xml:space="preserve"> conducenti e i passeggeri di autovetture costituiscono la maggior parte degli infortunati in incidenti stradali, le autovetture</w:t>
      </w:r>
      <w:r>
        <w:rPr>
          <w:rFonts w:ascii="Times New Roman" w:hAnsi="Times New Roman" w:cs="Times New Roman"/>
          <w:sz w:val="24"/>
          <w:szCs w:val="24"/>
        </w:rPr>
        <w:t>, infatti,</w:t>
      </w:r>
      <w:r w:rsidR="0024125C" w:rsidRPr="0024125C">
        <w:rPr>
          <w:rFonts w:ascii="Times New Roman" w:hAnsi="Times New Roman" w:cs="Times New Roman"/>
          <w:sz w:val="24"/>
          <w:szCs w:val="24"/>
        </w:rPr>
        <w:t xml:space="preserve"> rappresentano circa il 75% dei veicoli in circolazione ogni anno sulle strade italiane.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25C" w:rsidRPr="0024125C" w:rsidRDefault="003B1884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 2015 si sono registrati 1.468</w:t>
      </w:r>
      <w:r w:rsidR="0024125C" w:rsidRPr="0024125C">
        <w:rPr>
          <w:rFonts w:ascii="Times New Roman" w:hAnsi="Times New Roman" w:cs="Times New Roman"/>
          <w:sz w:val="24"/>
          <w:szCs w:val="24"/>
        </w:rPr>
        <w:t xml:space="preserve"> decessi tra conducenti e passeggeri di autovetture, seguono motociclisti (7</w:t>
      </w:r>
      <w:r>
        <w:rPr>
          <w:rFonts w:ascii="Times New Roman" w:hAnsi="Times New Roman" w:cs="Times New Roman"/>
          <w:sz w:val="24"/>
          <w:szCs w:val="24"/>
        </w:rPr>
        <w:t>73</w:t>
      </w:r>
      <w:r w:rsidR="0024125C" w:rsidRPr="0024125C">
        <w:rPr>
          <w:rFonts w:ascii="Times New Roman" w:hAnsi="Times New Roman" w:cs="Times New Roman"/>
          <w:sz w:val="24"/>
          <w:szCs w:val="24"/>
        </w:rPr>
        <w:t>), pedoni (</w:t>
      </w:r>
      <w:r>
        <w:rPr>
          <w:rFonts w:ascii="Times New Roman" w:hAnsi="Times New Roman" w:cs="Times New Roman"/>
          <w:sz w:val="24"/>
          <w:szCs w:val="24"/>
        </w:rPr>
        <w:t>602</w:t>
      </w:r>
      <w:r w:rsidR="0024125C" w:rsidRPr="0024125C">
        <w:rPr>
          <w:rFonts w:ascii="Times New Roman" w:hAnsi="Times New Roman" w:cs="Times New Roman"/>
          <w:sz w:val="24"/>
          <w:szCs w:val="24"/>
        </w:rPr>
        <w:t>), ciclisti (2</w:t>
      </w:r>
      <w:r>
        <w:rPr>
          <w:rFonts w:ascii="Times New Roman" w:hAnsi="Times New Roman" w:cs="Times New Roman"/>
          <w:sz w:val="24"/>
          <w:szCs w:val="24"/>
        </w:rPr>
        <w:t>51</w:t>
      </w:r>
      <w:r w:rsidR="0024125C" w:rsidRPr="0024125C">
        <w:rPr>
          <w:rFonts w:ascii="Times New Roman" w:hAnsi="Times New Roman" w:cs="Times New Roman"/>
          <w:sz w:val="24"/>
          <w:szCs w:val="24"/>
        </w:rPr>
        <w:t>), occupanti di autocarri e motrici (15</w:t>
      </w:r>
      <w:r>
        <w:rPr>
          <w:rFonts w:ascii="Times New Roman" w:hAnsi="Times New Roman" w:cs="Times New Roman"/>
          <w:sz w:val="24"/>
          <w:szCs w:val="24"/>
        </w:rPr>
        <w:t>7), ciclomotori (105</w:t>
      </w:r>
      <w:r w:rsidR="0024125C" w:rsidRPr="0024125C">
        <w:rPr>
          <w:rFonts w:ascii="Times New Roman" w:hAnsi="Times New Roman" w:cs="Times New Roman"/>
          <w:sz w:val="24"/>
          <w:szCs w:val="24"/>
        </w:rPr>
        <w:t>) e al</w:t>
      </w:r>
      <w:r>
        <w:rPr>
          <w:rFonts w:ascii="Times New Roman" w:hAnsi="Times New Roman" w:cs="Times New Roman"/>
          <w:sz w:val="24"/>
          <w:szCs w:val="24"/>
        </w:rPr>
        <w:t>tre modalità di trasporto (72</w:t>
      </w:r>
      <w:r w:rsidR="00EB6C1F">
        <w:rPr>
          <w:rFonts w:ascii="Times New Roman" w:hAnsi="Times New Roman" w:cs="Times New Roman"/>
          <w:sz w:val="24"/>
          <w:szCs w:val="24"/>
        </w:rPr>
        <w:t>) (</w:t>
      </w:r>
      <w:r w:rsidR="00856AB3">
        <w:rPr>
          <w:rFonts w:ascii="Times New Roman" w:hAnsi="Times New Roman" w:cs="Times New Roman"/>
          <w:sz w:val="24"/>
          <w:szCs w:val="24"/>
        </w:rPr>
        <w:t>Fig.</w:t>
      </w:r>
      <w:r w:rsidR="00661E8A">
        <w:rPr>
          <w:rFonts w:ascii="Times New Roman" w:hAnsi="Times New Roman" w:cs="Times New Roman"/>
          <w:sz w:val="24"/>
          <w:szCs w:val="24"/>
        </w:rPr>
        <w:t xml:space="preserve"> 2</w:t>
      </w:r>
      <w:r w:rsidR="00EB6C1F">
        <w:rPr>
          <w:rFonts w:ascii="Times New Roman" w:hAnsi="Times New Roman" w:cs="Times New Roman"/>
          <w:sz w:val="24"/>
          <w:szCs w:val="24"/>
        </w:rPr>
        <w:t>).</w:t>
      </w:r>
    </w:p>
    <w:p w:rsidR="0024125C" w:rsidRPr="0024125C" w:rsidRDefault="0024125C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25C">
        <w:rPr>
          <w:rFonts w:ascii="Times New Roman" w:hAnsi="Times New Roman" w:cs="Times New Roman"/>
          <w:sz w:val="24"/>
          <w:szCs w:val="24"/>
        </w:rPr>
        <w:t xml:space="preserve">L’analisi per utente della strada, con la distinzione del tipo di veicolo e del ruolo di pedone, consente di evidenziare le principali specificità delle diverse modalità di trasporto e soprattutto di porre l’attenzione sulle categorie di utenti più vulnerabili, vale a dire pedoni, ciclisti e utilizzatori delle due ruote a motore. Questi soggetti presentano, infatti, differenze rispetto alle altre tipologie di utenti  per l’assenza di protezioni esterne, come l’abitacolo di un veicolo. </w:t>
      </w:r>
    </w:p>
    <w:p w:rsidR="0024125C" w:rsidRDefault="0024125C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25C">
        <w:rPr>
          <w:rFonts w:ascii="Times New Roman" w:hAnsi="Times New Roman" w:cs="Times New Roman"/>
          <w:sz w:val="24"/>
          <w:szCs w:val="24"/>
        </w:rPr>
        <w:t>Gli indici di mortalità e lesività per categoria di utente della strada mostrano come gli utenti più vulnerabili siano esposti a rischi tangibilmente più elevati rispetto agli utilizzatori di altre modalità di</w:t>
      </w:r>
      <w:r w:rsidR="000E4E11" w:rsidRPr="000E4E11">
        <w:rPr>
          <w:noProof/>
          <w:lang w:eastAsia="it-IT"/>
        </w:rPr>
        <w:t xml:space="preserve"> </w:t>
      </w:r>
      <w:r w:rsidRPr="0024125C">
        <w:rPr>
          <w:rFonts w:ascii="Times New Roman" w:hAnsi="Times New Roman" w:cs="Times New Roman"/>
          <w:sz w:val="24"/>
          <w:szCs w:val="24"/>
        </w:rPr>
        <w:t xml:space="preserve"> trasporto. L’indice di mortalità per i pedoni è ben quattro volte superiore rispetto a quello degli occupanti di autovetture (categoria di riferimento), quello per motociclisti e ciclisti è più che doppio. L’indice di lesività è invece doppio per pedoni e utenti delle due ruote a motore rispetto a quello</w:t>
      </w:r>
      <w:r w:rsidR="00EB6C1F">
        <w:rPr>
          <w:rFonts w:ascii="Times New Roman" w:hAnsi="Times New Roman" w:cs="Times New Roman"/>
          <w:sz w:val="24"/>
          <w:szCs w:val="24"/>
        </w:rPr>
        <w:t xml:space="preserve"> degli occupanti di autovetture (</w:t>
      </w:r>
      <w:r w:rsidR="00856AB3">
        <w:rPr>
          <w:rFonts w:ascii="Times New Roman" w:hAnsi="Times New Roman" w:cs="Times New Roman"/>
          <w:sz w:val="24"/>
          <w:szCs w:val="24"/>
        </w:rPr>
        <w:t>Fig.</w:t>
      </w:r>
      <w:r w:rsidR="00FA2AEF">
        <w:rPr>
          <w:rFonts w:ascii="Times New Roman" w:hAnsi="Times New Roman" w:cs="Times New Roman"/>
          <w:sz w:val="24"/>
          <w:szCs w:val="24"/>
        </w:rPr>
        <w:t xml:space="preserve"> 2</w:t>
      </w:r>
      <w:r w:rsidR="00EB6C1F">
        <w:rPr>
          <w:rFonts w:ascii="Times New Roman" w:hAnsi="Times New Roman" w:cs="Times New Roman"/>
          <w:sz w:val="24"/>
          <w:szCs w:val="24"/>
        </w:rPr>
        <w:t>).</w:t>
      </w:r>
    </w:p>
    <w:p w:rsidR="000009A5" w:rsidRDefault="000009A5" w:rsidP="0038079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125C" w:rsidRDefault="0002528F" w:rsidP="0038079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Pr="00A92BDA">
        <w:rPr>
          <w:rFonts w:ascii="Times New Roman" w:hAnsi="Times New Roman" w:cs="Times New Roman"/>
          <w:b/>
          <w:spacing w:val="-12"/>
          <w:sz w:val="24"/>
          <w:szCs w:val="24"/>
        </w:rPr>
        <w:t>ig</w:t>
      </w:r>
      <w:r w:rsidR="00661E8A" w:rsidRPr="00A92BDA">
        <w:rPr>
          <w:rFonts w:ascii="Times New Roman" w:hAnsi="Times New Roman" w:cs="Times New Roman"/>
          <w:b/>
          <w:spacing w:val="-12"/>
          <w:sz w:val="24"/>
          <w:szCs w:val="24"/>
        </w:rPr>
        <w:t>. 2</w:t>
      </w:r>
      <w:r w:rsidR="00A92BDA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-</w:t>
      </w:r>
      <w:r w:rsidR="00574EF9" w:rsidRPr="00A92BDA">
        <w:rPr>
          <w:rFonts w:ascii="Arial Narrow" w:hAnsi="Arial Narrow"/>
          <w:b/>
          <w:caps/>
          <w:color w:val="808080"/>
          <w:spacing w:val="-12"/>
          <w:sz w:val="20"/>
        </w:rPr>
        <w:t xml:space="preserve"> </w:t>
      </w:r>
      <w:r w:rsidR="0024125C" w:rsidRPr="00A92BDA">
        <w:rPr>
          <w:rFonts w:ascii="Times New Roman" w:hAnsi="Times New Roman" w:cs="Times New Roman"/>
          <w:b/>
          <w:spacing w:val="-12"/>
          <w:sz w:val="24"/>
          <w:szCs w:val="24"/>
        </w:rPr>
        <w:t>Morti in incidente stradale per tipo di uten</w:t>
      </w:r>
      <w:r w:rsidR="00574EF9" w:rsidRPr="00A92BDA">
        <w:rPr>
          <w:rFonts w:ascii="Times New Roman" w:hAnsi="Times New Roman" w:cs="Times New Roman"/>
          <w:b/>
          <w:spacing w:val="-12"/>
          <w:sz w:val="24"/>
          <w:szCs w:val="24"/>
        </w:rPr>
        <w:t>te della strada (a). Anno 201</w:t>
      </w:r>
      <w:r w:rsidR="000E4E11">
        <w:rPr>
          <w:rFonts w:ascii="Times New Roman" w:hAnsi="Times New Roman" w:cs="Times New Roman"/>
          <w:b/>
          <w:spacing w:val="-12"/>
          <w:sz w:val="24"/>
          <w:szCs w:val="24"/>
        </w:rPr>
        <w:t>5</w:t>
      </w:r>
      <w:r w:rsidR="00574EF9" w:rsidRPr="00A92BDA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(</w:t>
      </w:r>
      <w:r w:rsidR="0024125C" w:rsidRPr="00A92BDA">
        <w:rPr>
          <w:rFonts w:ascii="Times New Roman" w:hAnsi="Times New Roman" w:cs="Times New Roman"/>
          <w:b/>
          <w:spacing w:val="-12"/>
          <w:sz w:val="24"/>
          <w:szCs w:val="24"/>
        </w:rPr>
        <w:t>valori assoluti</w:t>
      </w:r>
      <w:r w:rsidR="00574EF9" w:rsidRPr="00A92BDA">
        <w:rPr>
          <w:rFonts w:ascii="Times New Roman" w:hAnsi="Times New Roman" w:cs="Times New Roman"/>
          <w:b/>
          <w:spacing w:val="-12"/>
          <w:sz w:val="24"/>
          <w:szCs w:val="24"/>
        </w:rPr>
        <w:t>)</w:t>
      </w:r>
    </w:p>
    <w:p w:rsidR="00A92BDA" w:rsidRDefault="004C3D00" w:rsidP="00A92BD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jc w:val="both"/>
        <w:rPr>
          <w:rFonts w:ascii="Arial Narrow" w:hAnsi="Arial Narrow"/>
          <w:caps/>
          <w:spacing w:val="-12"/>
          <w:sz w:val="19"/>
          <w:szCs w:val="19"/>
        </w:rPr>
      </w:pPr>
      <w:r w:rsidRPr="00854936">
        <w:rPr>
          <w:rFonts w:ascii="Arial" w:hAnsi="Arial" w:cs="Arial"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E293B" wp14:editId="03E09F31">
                <wp:simplePos x="0" y="0"/>
                <wp:positionH relativeFrom="column">
                  <wp:posOffset>1049158</wp:posOffset>
                </wp:positionH>
                <wp:positionV relativeFrom="paragraph">
                  <wp:posOffset>26670</wp:posOffset>
                </wp:positionV>
                <wp:extent cx="2105025" cy="352425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18CD" w:rsidRPr="00A92BDA" w:rsidRDefault="006618CD" w:rsidP="008549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</w:pPr>
                            <w:r w:rsidRPr="00A92BDA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Utenti vulnerabili della strada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82.6pt;margin-top:2.1pt;width:165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" filled="f" stroked="f">
                <v:textbox>
                  <w:txbxContent>
                    <w:p w:rsidR="006618CD" w:rsidRPr="00A92BDA" w:rsidRDefault="006618CD" w:rsidP="008549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</w:pPr>
                      <w:r w:rsidRPr="00A92BDA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Utenti vulnerabili della strada</w:t>
                      </w:r>
                    </w:p>
                  </w:txbxContent>
                </v:textbox>
              </v:shape>
            </w:pict>
          </mc:Fallback>
        </mc:AlternateContent>
      </w:r>
    </w:p>
    <w:p w:rsidR="000E4E11" w:rsidRDefault="000E4E11" w:rsidP="00A92BD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jc w:val="both"/>
        <w:rPr>
          <w:rFonts w:ascii="Arial Narrow" w:hAnsi="Arial Narrow"/>
          <w:caps/>
          <w:spacing w:val="-12"/>
          <w:sz w:val="19"/>
          <w:szCs w:val="19"/>
        </w:rPr>
      </w:pPr>
    </w:p>
    <w:p w:rsidR="000E4E11" w:rsidRDefault="004C3D00" w:rsidP="00A92BD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jc w:val="both"/>
        <w:rPr>
          <w:rFonts w:ascii="Arial Narrow" w:hAnsi="Arial Narrow"/>
          <w:caps/>
          <w:spacing w:val="-12"/>
          <w:sz w:val="19"/>
          <w:szCs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40E783" wp14:editId="6DFE776F">
                <wp:simplePos x="0" y="0"/>
                <wp:positionH relativeFrom="column">
                  <wp:posOffset>512362</wp:posOffset>
                </wp:positionH>
                <wp:positionV relativeFrom="paragraph">
                  <wp:posOffset>92572</wp:posOffset>
                </wp:positionV>
                <wp:extent cx="3164619" cy="1065475"/>
                <wp:effectExtent l="0" t="0" r="17145" b="20955"/>
                <wp:wrapNone/>
                <wp:docPr id="3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4619" cy="1065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40.35pt;margin-top:7.3pt;width:249.2pt;height:8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" filled="f" strokecolor="#c00000" strokeweight="1pt"/>
            </w:pict>
          </mc:Fallback>
        </mc:AlternateContent>
      </w:r>
      <w:r w:rsidR="000E4E11">
        <w:rPr>
          <w:noProof/>
          <w:lang w:eastAsia="it-IT"/>
        </w:rPr>
        <w:drawing>
          <wp:inline distT="0" distB="0" distL="0" distR="0" wp14:anchorId="158CA551" wp14:editId="4FAEDCBB">
            <wp:extent cx="6154309" cy="1256306"/>
            <wp:effectExtent l="0" t="0" r="0" b="0"/>
            <wp:docPr id="5" name="Gra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1134"/>
        <w:gridCol w:w="1134"/>
        <w:gridCol w:w="2693"/>
        <w:gridCol w:w="1276"/>
        <w:gridCol w:w="1417"/>
        <w:gridCol w:w="1134"/>
      </w:tblGrid>
      <w:tr w:rsidR="001A1025" w:rsidRPr="001A1025" w:rsidTr="005B1BF0">
        <w:trPr>
          <w:trHeight w:val="45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1A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808080"/>
                <w:sz w:val="16"/>
                <w:szCs w:val="16"/>
                <w:lang w:eastAsia="it-IT"/>
              </w:rPr>
              <w:t>Indice di mortalità*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00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>2,75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00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>1,41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00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0,84         </w:t>
            </w:r>
            <w:r w:rsidR="00220B73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</w:t>
            </w:r>
            <w:r w:rsidRPr="001A102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      </w:t>
            </w:r>
            <w:r w:rsidR="000009A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                </w:t>
            </w:r>
            <w:r w:rsidRPr="001A102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>1,69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1A1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0,67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1A1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0,74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1A1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0,56</w:t>
            </w:r>
          </w:p>
        </w:tc>
      </w:tr>
      <w:tr w:rsidR="001A1025" w:rsidRPr="001A1025" w:rsidTr="005B1BF0">
        <w:trPr>
          <w:trHeight w:val="45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1A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80808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808080"/>
                <w:sz w:val="16"/>
                <w:szCs w:val="16"/>
                <w:lang w:eastAsia="it-IT"/>
              </w:rPr>
              <w:t>Indice di lesività*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00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>109,56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00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>94,12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00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101,30           </w:t>
            </w:r>
            <w:r w:rsidR="00220B73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 </w:t>
            </w:r>
            <w:r w:rsidRPr="001A102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</w:t>
            </w:r>
            <w:r w:rsidR="000009A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             </w:t>
            </w:r>
            <w:r w:rsidRPr="001A1025">
              <w:rPr>
                <w:rFonts w:ascii="Times New Roman" w:eastAsia="Times New Roman" w:hAnsi="Times New Roman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100,46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1A1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65,36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1A1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34,18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025" w:rsidRPr="001A1025" w:rsidRDefault="001A1025" w:rsidP="001A1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A1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42,59</w:t>
            </w:r>
          </w:p>
        </w:tc>
      </w:tr>
    </w:tbl>
    <w:p w:rsidR="0024125C" w:rsidRPr="00A92BDA" w:rsidRDefault="00574EF9" w:rsidP="00380794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92BDA">
        <w:rPr>
          <w:rFonts w:ascii="Times New Roman" w:hAnsi="Times New Roman" w:cs="Times New Roman"/>
          <w:sz w:val="18"/>
          <w:szCs w:val="18"/>
        </w:rPr>
        <w:t xml:space="preserve">(a) </w:t>
      </w:r>
      <w:r w:rsidR="0024125C" w:rsidRPr="00A92BDA">
        <w:rPr>
          <w:rFonts w:ascii="Times New Roman" w:hAnsi="Times New Roman" w:cs="Times New Roman"/>
          <w:sz w:val="18"/>
          <w:szCs w:val="18"/>
        </w:rPr>
        <w:t xml:space="preserve"> Sono inclusi nella categoria Autocarri e motrici: Autocarri, Autotreni con rimorchio, Autosnodati o autoarticolati, Veicoli speciali, Trattori stradali o motrici.</w:t>
      </w:r>
    </w:p>
    <w:p w:rsidR="0024125C" w:rsidRDefault="0024125C" w:rsidP="00380794">
      <w:pPr>
        <w:pStyle w:val="Rientrocorpodeltesto3"/>
        <w:numPr>
          <w:ilvl w:val="0"/>
          <w:numId w:val="8"/>
        </w:numPr>
        <w:tabs>
          <w:tab w:val="clear" w:pos="-1416"/>
          <w:tab w:val="clear" w:pos="-708"/>
          <w:tab w:val="clear" w:pos="0"/>
          <w:tab w:val="clear" w:pos="708"/>
          <w:tab w:val="clear" w:pos="1416"/>
          <w:tab w:val="clear" w:pos="2124"/>
          <w:tab w:val="clear" w:pos="2838"/>
          <w:tab w:val="clear" w:pos="3546"/>
          <w:tab w:val="clear" w:pos="4254"/>
          <w:tab w:val="clear" w:pos="4962"/>
          <w:tab w:val="clear" w:pos="5670"/>
          <w:tab w:val="clear" w:pos="6378"/>
          <w:tab w:val="clear" w:pos="7092"/>
          <w:tab w:val="clear" w:pos="7800"/>
        </w:tabs>
        <w:ind w:left="284" w:hanging="284"/>
        <w:rPr>
          <w:rFonts w:ascii="Times New Roman" w:eastAsiaTheme="minorHAnsi" w:hAnsi="Times New Roman"/>
          <w:sz w:val="18"/>
          <w:szCs w:val="18"/>
          <w:lang w:eastAsia="en-US"/>
        </w:rPr>
      </w:pPr>
      <w:r w:rsidRPr="00A92BDA">
        <w:rPr>
          <w:rFonts w:ascii="Times New Roman" w:eastAsiaTheme="minorHAnsi" w:hAnsi="Times New Roman"/>
          <w:sz w:val="18"/>
          <w:szCs w:val="18"/>
          <w:lang w:eastAsia="en-US"/>
        </w:rPr>
        <w:t>Numero di morti o feriti ogni 100 incidenti per investimento di pedone o veicoli coinvolti nell’incidente per tipologia</w:t>
      </w:r>
      <w:r w:rsidR="0082711D">
        <w:rPr>
          <w:rFonts w:ascii="Times New Roman" w:eastAsiaTheme="minorHAnsi" w:hAnsi="Times New Roman"/>
          <w:sz w:val="18"/>
          <w:szCs w:val="18"/>
          <w:lang w:eastAsia="en-US"/>
        </w:rPr>
        <w:t>.</w:t>
      </w:r>
    </w:p>
    <w:p w:rsidR="0082711D" w:rsidRPr="00A92BDA" w:rsidRDefault="0082711D" w:rsidP="0082711D">
      <w:pPr>
        <w:pStyle w:val="Rientrocorpodeltesto3"/>
        <w:tabs>
          <w:tab w:val="clear" w:pos="-1416"/>
          <w:tab w:val="clear" w:pos="-708"/>
          <w:tab w:val="clear" w:pos="0"/>
          <w:tab w:val="clear" w:pos="708"/>
          <w:tab w:val="clear" w:pos="1416"/>
          <w:tab w:val="clear" w:pos="2124"/>
          <w:tab w:val="clear" w:pos="2838"/>
          <w:tab w:val="clear" w:pos="3546"/>
          <w:tab w:val="clear" w:pos="4254"/>
          <w:tab w:val="clear" w:pos="4962"/>
          <w:tab w:val="clear" w:pos="5670"/>
          <w:tab w:val="clear" w:pos="6378"/>
          <w:tab w:val="clear" w:pos="7092"/>
          <w:tab w:val="clear" w:pos="7800"/>
        </w:tabs>
        <w:ind w:left="284" w:hanging="284"/>
        <w:rPr>
          <w:rFonts w:ascii="Times New Roman" w:eastAsiaTheme="minorHAnsi" w:hAnsi="Times New Roman"/>
          <w:sz w:val="18"/>
          <w:szCs w:val="18"/>
          <w:lang w:eastAsia="en-US"/>
        </w:rPr>
      </w:pPr>
      <w:r w:rsidRPr="00380794">
        <w:rPr>
          <w:rFonts w:ascii="Times New Roman" w:hAnsi="Times New Roman"/>
          <w:i/>
          <w:sz w:val="18"/>
          <w:szCs w:val="18"/>
        </w:rPr>
        <w:t xml:space="preserve">Fonte: </w:t>
      </w:r>
      <w:r w:rsidRPr="00380794">
        <w:rPr>
          <w:rFonts w:ascii="Times New Roman" w:hAnsi="Times New Roman"/>
          <w:sz w:val="18"/>
          <w:szCs w:val="18"/>
        </w:rPr>
        <w:t>Istat, Rilevazione degli incidenti stradali con lesione a persone</w:t>
      </w:r>
      <w:r>
        <w:rPr>
          <w:rFonts w:ascii="Times New Roman" w:hAnsi="Times New Roman"/>
          <w:sz w:val="18"/>
          <w:szCs w:val="18"/>
        </w:rPr>
        <w:t>.</w:t>
      </w:r>
    </w:p>
    <w:p w:rsidR="0024125C" w:rsidRPr="0029237B" w:rsidRDefault="0024125C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37B">
        <w:rPr>
          <w:rFonts w:ascii="Times New Roman" w:hAnsi="Times New Roman" w:cs="Times New Roman"/>
          <w:sz w:val="24"/>
          <w:szCs w:val="24"/>
        </w:rPr>
        <w:lastRenderedPageBreak/>
        <w:t>F</w:t>
      </w:r>
      <w:r w:rsidR="006D6849">
        <w:rPr>
          <w:rFonts w:ascii="Times New Roman" w:hAnsi="Times New Roman" w:cs="Times New Roman"/>
          <w:sz w:val="24"/>
          <w:szCs w:val="24"/>
        </w:rPr>
        <w:t>ra il 2001 e il 201</w:t>
      </w:r>
      <w:r w:rsidR="00010E7F">
        <w:rPr>
          <w:rFonts w:ascii="Times New Roman" w:hAnsi="Times New Roman" w:cs="Times New Roman"/>
          <w:sz w:val="24"/>
          <w:szCs w:val="24"/>
        </w:rPr>
        <w:t>5</w:t>
      </w:r>
      <w:r w:rsidR="006D6849">
        <w:rPr>
          <w:rFonts w:ascii="Times New Roman" w:hAnsi="Times New Roman" w:cs="Times New Roman"/>
          <w:sz w:val="24"/>
          <w:szCs w:val="24"/>
        </w:rPr>
        <w:t xml:space="preserve">, malgrado la battuta di arresto </w:t>
      </w:r>
      <w:r w:rsidR="001E5F1E">
        <w:rPr>
          <w:rFonts w:ascii="Times New Roman" w:hAnsi="Times New Roman" w:cs="Times New Roman"/>
          <w:sz w:val="24"/>
          <w:szCs w:val="24"/>
        </w:rPr>
        <w:t>dell’ultimo anno</w:t>
      </w:r>
      <w:r w:rsidR="006D6849">
        <w:rPr>
          <w:rFonts w:ascii="Times New Roman" w:hAnsi="Times New Roman" w:cs="Times New Roman"/>
          <w:sz w:val="24"/>
          <w:szCs w:val="24"/>
        </w:rPr>
        <w:t>,</w:t>
      </w:r>
      <w:r w:rsidR="001E5F1E">
        <w:rPr>
          <w:rFonts w:ascii="Times New Roman" w:hAnsi="Times New Roman" w:cs="Times New Roman"/>
          <w:sz w:val="24"/>
          <w:szCs w:val="24"/>
        </w:rPr>
        <w:t xml:space="preserve"> il trend</w:t>
      </w:r>
      <w:r w:rsidR="006D6849">
        <w:rPr>
          <w:rFonts w:ascii="Times New Roman" w:hAnsi="Times New Roman" w:cs="Times New Roman"/>
          <w:sz w:val="24"/>
          <w:szCs w:val="24"/>
        </w:rPr>
        <w:t xml:space="preserve"> </w:t>
      </w:r>
      <w:r w:rsidR="001E5F1E">
        <w:rPr>
          <w:rFonts w:ascii="Times New Roman" w:hAnsi="Times New Roman" w:cs="Times New Roman"/>
          <w:sz w:val="24"/>
          <w:szCs w:val="24"/>
        </w:rPr>
        <w:t>risulta</w:t>
      </w:r>
      <w:r w:rsidRPr="0029237B">
        <w:rPr>
          <w:rFonts w:ascii="Times New Roman" w:hAnsi="Times New Roman" w:cs="Times New Roman"/>
          <w:sz w:val="24"/>
          <w:szCs w:val="24"/>
        </w:rPr>
        <w:t xml:space="preserve"> positivo</w:t>
      </w:r>
      <w:r w:rsidR="001E5F1E">
        <w:rPr>
          <w:rFonts w:ascii="Times New Roman" w:hAnsi="Times New Roman" w:cs="Times New Roman"/>
          <w:sz w:val="24"/>
          <w:szCs w:val="24"/>
        </w:rPr>
        <w:t>,</w:t>
      </w:r>
      <w:r w:rsidRPr="0029237B">
        <w:rPr>
          <w:rFonts w:ascii="Times New Roman" w:hAnsi="Times New Roman" w:cs="Times New Roman"/>
          <w:sz w:val="24"/>
          <w:szCs w:val="24"/>
        </w:rPr>
        <w:t xml:space="preserve"> in termini di vite umane salvate per tutte le modalità di trasporto, </w:t>
      </w:r>
      <w:r w:rsidR="006D6849">
        <w:rPr>
          <w:rFonts w:ascii="Times New Roman" w:hAnsi="Times New Roman" w:cs="Times New Roman"/>
          <w:sz w:val="24"/>
          <w:szCs w:val="24"/>
        </w:rPr>
        <w:t>sep</w:t>
      </w:r>
      <w:r w:rsidRPr="0029237B">
        <w:rPr>
          <w:rFonts w:ascii="Times New Roman" w:hAnsi="Times New Roman" w:cs="Times New Roman"/>
          <w:sz w:val="24"/>
          <w:szCs w:val="24"/>
        </w:rPr>
        <w:t xml:space="preserve">pur con alcune differenze rispetto al tipo di utenza. La drastica riduzione del numero di vittime fra conducenti e </w:t>
      </w:r>
      <w:r w:rsidR="001E5F1E">
        <w:rPr>
          <w:rFonts w:ascii="Times New Roman" w:hAnsi="Times New Roman" w:cs="Times New Roman"/>
          <w:sz w:val="24"/>
          <w:szCs w:val="24"/>
        </w:rPr>
        <w:t xml:space="preserve">passeggeri di autovetture </w:t>
      </w:r>
      <w:r w:rsidR="00010E7F">
        <w:rPr>
          <w:rFonts w:ascii="Times New Roman" w:hAnsi="Times New Roman" w:cs="Times New Roman"/>
          <w:sz w:val="24"/>
          <w:szCs w:val="24"/>
        </w:rPr>
        <w:t>(-61,8</w:t>
      </w:r>
      <w:r w:rsidRPr="0029237B">
        <w:rPr>
          <w:rFonts w:ascii="Times New Roman" w:hAnsi="Times New Roman" w:cs="Times New Roman"/>
          <w:sz w:val="24"/>
          <w:szCs w:val="24"/>
        </w:rPr>
        <w:t>%) è legata sicuramente agli interventi mirati sulle infrastrutture stradali, al miglioramento della rete viaria attuata negli ultimi anni e ai notevoli progressi nella tecnologia e nella sicurezza dei veicoli. Le utenze vulnerabili presentano</w:t>
      </w:r>
      <w:r w:rsidR="006D6849">
        <w:rPr>
          <w:rFonts w:ascii="Times New Roman" w:hAnsi="Times New Roman" w:cs="Times New Roman"/>
          <w:sz w:val="24"/>
          <w:szCs w:val="24"/>
        </w:rPr>
        <w:t>,</w:t>
      </w:r>
      <w:r w:rsidRPr="0029237B">
        <w:rPr>
          <w:rFonts w:ascii="Times New Roman" w:hAnsi="Times New Roman" w:cs="Times New Roman"/>
          <w:sz w:val="24"/>
          <w:szCs w:val="24"/>
        </w:rPr>
        <w:t xml:space="preserve"> invece</w:t>
      </w:r>
      <w:r w:rsidR="006D6849">
        <w:rPr>
          <w:rFonts w:ascii="Times New Roman" w:hAnsi="Times New Roman" w:cs="Times New Roman"/>
          <w:sz w:val="24"/>
          <w:szCs w:val="24"/>
        </w:rPr>
        <w:t>,</w:t>
      </w:r>
      <w:r w:rsidRPr="0029237B">
        <w:rPr>
          <w:rFonts w:ascii="Times New Roman" w:hAnsi="Times New Roman" w:cs="Times New Roman"/>
          <w:sz w:val="24"/>
          <w:szCs w:val="24"/>
        </w:rPr>
        <w:t xml:space="preserve"> </w:t>
      </w:r>
      <w:r w:rsidR="006D6849">
        <w:rPr>
          <w:rFonts w:ascii="Times New Roman" w:hAnsi="Times New Roman" w:cs="Times New Roman"/>
          <w:sz w:val="24"/>
          <w:szCs w:val="24"/>
        </w:rPr>
        <w:t>andamenti</w:t>
      </w:r>
      <w:r w:rsidRPr="0029237B">
        <w:rPr>
          <w:rFonts w:ascii="Times New Roman" w:hAnsi="Times New Roman" w:cs="Times New Roman"/>
          <w:sz w:val="24"/>
          <w:szCs w:val="24"/>
        </w:rPr>
        <w:t xml:space="preserve"> diversi e guadagni, in termini di mortalità, meno evidenti nel tempo e talvolta in controtendenza con i valori medi nazionali. </w:t>
      </w:r>
    </w:p>
    <w:p w:rsidR="00033D1A" w:rsidRDefault="0024125C" w:rsidP="00B144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37B">
        <w:rPr>
          <w:rFonts w:ascii="Times New Roman" w:hAnsi="Times New Roman" w:cs="Times New Roman"/>
          <w:sz w:val="24"/>
          <w:szCs w:val="24"/>
        </w:rPr>
        <w:t>La riduzione della mortalità degli utenti di motocicli e ciclomotori è più contenuta rispetto al totale nazionale tra il 2001 e il 201</w:t>
      </w:r>
      <w:r w:rsidR="00B144BE">
        <w:rPr>
          <w:rFonts w:ascii="Times New Roman" w:hAnsi="Times New Roman" w:cs="Times New Roman"/>
          <w:sz w:val="24"/>
          <w:szCs w:val="24"/>
        </w:rPr>
        <w:t>5</w:t>
      </w:r>
      <w:r w:rsidRPr="0029237B">
        <w:rPr>
          <w:rFonts w:ascii="Times New Roman" w:hAnsi="Times New Roman" w:cs="Times New Roman"/>
          <w:sz w:val="24"/>
          <w:szCs w:val="24"/>
        </w:rPr>
        <w:t xml:space="preserve">. </w:t>
      </w:r>
      <w:r w:rsidR="0056021E">
        <w:rPr>
          <w:rFonts w:ascii="Times New Roman" w:hAnsi="Times New Roman" w:cs="Times New Roman"/>
          <w:sz w:val="24"/>
          <w:szCs w:val="24"/>
        </w:rPr>
        <w:t>Per il 2015,</w:t>
      </w:r>
      <w:r w:rsidR="00B144BE">
        <w:rPr>
          <w:rFonts w:ascii="Times New Roman" w:hAnsi="Times New Roman" w:cs="Times New Roman"/>
          <w:sz w:val="24"/>
          <w:szCs w:val="24"/>
        </w:rPr>
        <w:t xml:space="preserve"> </w:t>
      </w:r>
      <w:r w:rsidR="0056021E">
        <w:rPr>
          <w:rFonts w:ascii="Times New Roman" w:hAnsi="Times New Roman" w:cs="Times New Roman"/>
          <w:sz w:val="24"/>
          <w:szCs w:val="24"/>
        </w:rPr>
        <w:t xml:space="preserve">anno nero per i centauri, tornano ad </w:t>
      </w:r>
      <w:r w:rsidR="00B144BE">
        <w:rPr>
          <w:rFonts w:ascii="Times New Roman" w:hAnsi="Times New Roman" w:cs="Times New Roman"/>
          <w:sz w:val="24"/>
          <w:szCs w:val="24"/>
        </w:rPr>
        <w:t>aumentare, infatti,</w:t>
      </w:r>
      <w:r w:rsidR="0056021E">
        <w:rPr>
          <w:rFonts w:ascii="Times New Roman" w:hAnsi="Times New Roman" w:cs="Times New Roman"/>
          <w:sz w:val="24"/>
          <w:szCs w:val="24"/>
        </w:rPr>
        <w:t xml:space="preserve"> le vittime</w:t>
      </w:r>
      <w:r w:rsidR="00B144BE">
        <w:rPr>
          <w:rFonts w:ascii="Times New Roman" w:hAnsi="Times New Roman" w:cs="Times New Roman"/>
          <w:sz w:val="24"/>
          <w:szCs w:val="24"/>
        </w:rPr>
        <w:t xml:space="preserve"> per gli utenti delle due ruote a motore (+7,7%), incremento</w:t>
      </w:r>
      <w:r w:rsidR="00C01F18">
        <w:rPr>
          <w:rFonts w:ascii="Times New Roman" w:hAnsi="Times New Roman" w:cs="Times New Roman"/>
          <w:sz w:val="24"/>
          <w:szCs w:val="24"/>
        </w:rPr>
        <w:t xml:space="preserve">, tuttavia, </w:t>
      </w:r>
      <w:r w:rsidR="00B144BE">
        <w:rPr>
          <w:rFonts w:ascii="Times New Roman" w:hAnsi="Times New Roman" w:cs="Times New Roman"/>
          <w:sz w:val="24"/>
          <w:szCs w:val="24"/>
        </w:rPr>
        <w:t>imputabile interamente ai</w:t>
      </w:r>
      <w:r w:rsidR="0056021E">
        <w:rPr>
          <w:rFonts w:ascii="Times New Roman" w:hAnsi="Times New Roman" w:cs="Times New Roman"/>
          <w:sz w:val="24"/>
          <w:szCs w:val="24"/>
        </w:rPr>
        <w:t xml:space="preserve"> </w:t>
      </w:r>
      <w:r w:rsidR="00B144BE">
        <w:rPr>
          <w:rFonts w:ascii="Times New Roman" w:hAnsi="Times New Roman" w:cs="Times New Roman"/>
          <w:sz w:val="24"/>
          <w:szCs w:val="24"/>
        </w:rPr>
        <w:t>m</w:t>
      </w:r>
      <w:r w:rsidR="0056021E">
        <w:rPr>
          <w:rFonts w:ascii="Times New Roman" w:hAnsi="Times New Roman" w:cs="Times New Roman"/>
          <w:sz w:val="24"/>
          <w:szCs w:val="24"/>
        </w:rPr>
        <w:t>otociclisti</w:t>
      </w:r>
      <w:r w:rsidR="00521DEA">
        <w:rPr>
          <w:rFonts w:ascii="Times New Roman" w:hAnsi="Times New Roman" w:cs="Times New Roman"/>
          <w:sz w:val="24"/>
          <w:szCs w:val="24"/>
        </w:rPr>
        <w:t xml:space="preserve"> (+9,</w:t>
      </w:r>
      <w:r w:rsidR="00B144BE">
        <w:rPr>
          <w:rFonts w:ascii="Times New Roman" w:hAnsi="Times New Roman" w:cs="Times New Roman"/>
          <w:sz w:val="24"/>
          <w:szCs w:val="24"/>
        </w:rPr>
        <w:t>8%)</w:t>
      </w:r>
      <w:r w:rsidR="0056021E">
        <w:rPr>
          <w:rFonts w:ascii="Times New Roman" w:hAnsi="Times New Roman" w:cs="Times New Roman"/>
          <w:sz w:val="24"/>
          <w:szCs w:val="24"/>
        </w:rPr>
        <w:t>,</w:t>
      </w:r>
      <w:r w:rsidR="00B144BE">
        <w:rPr>
          <w:rFonts w:ascii="Times New Roman" w:hAnsi="Times New Roman" w:cs="Times New Roman"/>
          <w:sz w:val="24"/>
          <w:szCs w:val="24"/>
        </w:rPr>
        <w:t xml:space="preserve"> mentre</w:t>
      </w:r>
      <w:r w:rsidR="0056021E">
        <w:rPr>
          <w:rFonts w:ascii="Times New Roman" w:hAnsi="Times New Roman" w:cs="Times New Roman"/>
          <w:sz w:val="24"/>
          <w:szCs w:val="24"/>
        </w:rPr>
        <w:t xml:space="preserve"> </w:t>
      </w:r>
      <w:r w:rsidR="00B144BE">
        <w:rPr>
          <w:rFonts w:ascii="Times New Roman" w:hAnsi="Times New Roman" w:cs="Times New Roman"/>
          <w:sz w:val="24"/>
          <w:szCs w:val="24"/>
        </w:rPr>
        <w:t xml:space="preserve">diminuiscono le vittime su ciclomotori (-6,3%). </w:t>
      </w:r>
    </w:p>
    <w:p w:rsidR="00C01F18" w:rsidRDefault="00C01F18" w:rsidP="00B144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aumento</w:t>
      </w:r>
      <w:r w:rsidR="00B144BE">
        <w:rPr>
          <w:rFonts w:ascii="Times New Roman" w:hAnsi="Times New Roman" w:cs="Times New Roman"/>
          <w:sz w:val="24"/>
          <w:szCs w:val="24"/>
        </w:rPr>
        <w:t xml:space="preserve"> </w:t>
      </w:r>
      <w:r w:rsidR="0056021E">
        <w:rPr>
          <w:rFonts w:ascii="Times New Roman" w:hAnsi="Times New Roman" w:cs="Times New Roman"/>
          <w:sz w:val="24"/>
          <w:szCs w:val="24"/>
        </w:rPr>
        <w:t>anche</w:t>
      </w:r>
      <w:r w:rsidR="00B144BE">
        <w:rPr>
          <w:rFonts w:ascii="Times New Roman" w:hAnsi="Times New Roman" w:cs="Times New Roman"/>
          <w:sz w:val="24"/>
          <w:szCs w:val="24"/>
        </w:rPr>
        <w:t xml:space="preserve"> </w:t>
      </w:r>
      <w:r w:rsidR="0056021E">
        <w:rPr>
          <w:rFonts w:ascii="Times New Roman" w:hAnsi="Times New Roman" w:cs="Times New Roman"/>
          <w:sz w:val="24"/>
          <w:szCs w:val="24"/>
        </w:rPr>
        <w:t>i pedoni morti sulle strade</w:t>
      </w:r>
      <w:r w:rsidR="00521DEA">
        <w:rPr>
          <w:rFonts w:ascii="Times New Roman" w:hAnsi="Times New Roman" w:cs="Times New Roman"/>
          <w:sz w:val="24"/>
          <w:szCs w:val="24"/>
        </w:rPr>
        <w:t xml:space="preserve"> (+4,2%)</w:t>
      </w:r>
      <w:r w:rsidR="0056021E">
        <w:rPr>
          <w:rFonts w:ascii="Times New Roman" w:hAnsi="Times New Roman" w:cs="Times New Roman"/>
          <w:sz w:val="24"/>
          <w:szCs w:val="24"/>
        </w:rPr>
        <w:t>, mentre si r</w:t>
      </w:r>
      <w:r w:rsidR="00B144BE">
        <w:rPr>
          <w:rFonts w:ascii="Times New Roman" w:hAnsi="Times New Roman" w:cs="Times New Roman"/>
          <w:sz w:val="24"/>
          <w:szCs w:val="24"/>
        </w:rPr>
        <w:t>ileva</w:t>
      </w:r>
      <w:r w:rsidR="0056021E">
        <w:rPr>
          <w:rFonts w:ascii="Times New Roman" w:hAnsi="Times New Roman" w:cs="Times New Roman"/>
          <w:sz w:val="24"/>
          <w:szCs w:val="24"/>
        </w:rPr>
        <w:t xml:space="preserve"> </w:t>
      </w:r>
      <w:r w:rsidR="00521DEA">
        <w:rPr>
          <w:rFonts w:ascii="Times New Roman" w:hAnsi="Times New Roman" w:cs="Times New Roman"/>
          <w:sz w:val="24"/>
          <w:szCs w:val="24"/>
        </w:rPr>
        <w:t xml:space="preserve">una flessione </w:t>
      </w:r>
      <w:r w:rsidR="0056021E">
        <w:rPr>
          <w:rFonts w:ascii="Times New Roman" w:hAnsi="Times New Roman" w:cs="Times New Roman"/>
          <w:sz w:val="24"/>
          <w:szCs w:val="24"/>
        </w:rPr>
        <w:t>per le vittime tra i ciclisti</w:t>
      </w:r>
      <w:r w:rsidR="00521DEA">
        <w:rPr>
          <w:rFonts w:ascii="Times New Roman" w:hAnsi="Times New Roman" w:cs="Times New Roman"/>
          <w:sz w:val="24"/>
          <w:szCs w:val="24"/>
        </w:rPr>
        <w:t>, segnale positivo</w:t>
      </w:r>
      <w:r>
        <w:rPr>
          <w:rFonts w:ascii="Times New Roman" w:hAnsi="Times New Roman" w:cs="Times New Roman"/>
          <w:sz w:val="24"/>
          <w:szCs w:val="24"/>
        </w:rPr>
        <w:t>, questo,</w:t>
      </w:r>
      <w:r w:rsidR="00521DEA">
        <w:rPr>
          <w:rFonts w:ascii="Times New Roman" w:hAnsi="Times New Roman" w:cs="Times New Roman"/>
          <w:sz w:val="24"/>
          <w:szCs w:val="24"/>
        </w:rPr>
        <w:t xml:space="preserve"> che</w:t>
      </w:r>
      <w:r w:rsidR="0056021E">
        <w:rPr>
          <w:rFonts w:ascii="Times New Roman" w:hAnsi="Times New Roman" w:cs="Times New Roman"/>
          <w:sz w:val="24"/>
          <w:szCs w:val="24"/>
        </w:rPr>
        <w:t xml:space="preserve"> non deve</w:t>
      </w:r>
      <w:r>
        <w:rPr>
          <w:rFonts w:ascii="Times New Roman" w:hAnsi="Times New Roman" w:cs="Times New Roman"/>
          <w:sz w:val="24"/>
          <w:szCs w:val="24"/>
        </w:rPr>
        <w:t>, comunque,</w:t>
      </w:r>
      <w:r w:rsidR="0056021E">
        <w:rPr>
          <w:rFonts w:ascii="Times New Roman" w:hAnsi="Times New Roman" w:cs="Times New Roman"/>
          <w:sz w:val="24"/>
          <w:szCs w:val="24"/>
        </w:rPr>
        <w:t xml:space="preserve"> far sottovalutare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1DEA">
        <w:rPr>
          <w:rFonts w:ascii="Times New Roman" w:hAnsi="Times New Roman" w:cs="Times New Roman"/>
          <w:sz w:val="24"/>
          <w:szCs w:val="24"/>
        </w:rPr>
        <w:t>la sicurezza stradale di chi utilizza la bicicletta anche</w:t>
      </w:r>
      <w:r>
        <w:rPr>
          <w:rFonts w:ascii="Times New Roman" w:hAnsi="Times New Roman" w:cs="Times New Roman"/>
          <w:sz w:val="24"/>
          <w:szCs w:val="24"/>
        </w:rPr>
        <w:t xml:space="preserve"> come</w:t>
      </w:r>
      <w:r w:rsidR="00521DEA">
        <w:rPr>
          <w:rFonts w:ascii="Times New Roman" w:hAnsi="Times New Roman" w:cs="Times New Roman"/>
          <w:sz w:val="24"/>
          <w:szCs w:val="24"/>
        </w:rPr>
        <w:t xml:space="preserve"> mezzo alternativo per una mobilità urbana sostenibile</w:t>
      </w:r>
      <w:r w:rsidR="00033D1A">
        <w:rPr>
          <w:rFonts w:ascii="Times New Roman" w:hAnsi="Times New Roman" w:cs="Times New Roman"/>
          <w:sz w:val="24"/>
          <w:szCs w:val="24"/>
        </w:rPr>
        <w:t xml:space="preserve"> </w:t>
      </w:r>
      <w:r w:rsidRPr="00F61F9B">
        <w:rPr>
          <w:rFonts w:ascii="Times New Roman" w:hAnsi="Times New Roman" w:cs="Times New Roman"/>
          <w:sz w:val="24"/>
          <w:szCs w:val="24"/>
        </w:rPr>
        <w:t>(Fig. 3)</w:t>
      </w:r>
      <w:r w:rsidR="00521D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125C" w:rsidRDefault="00521DEA" w:rsidP="00B144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ciclisti vittime di incidenti stradali erano </w:t>
      </w:r>
      <w:r w:rsidR="0056021E">
        <w:rPr>
          <w:rFonts w:ascii="Times New Roman" w:hAnsi="Times New Roman" w:cs="Times New Roman"/>
          <w:sz w:val="24"/>
          <w:szCs w:val="24"/>
        </w:rPr>
        <w:t>in aumento nel 2014 rispetto all’anno precedente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1DEA">
        <w:rPr>
          <w:rFonts w:ascii="Times New Roman" w:hAnsi="Times New Roman" w:cs="Times New Roman"/>
          <w:sz w:val="24"/>
          <w:szCs w:val="24"/>
        </w:rPr>
        <w:t>dell’8</w:t>
      </w:r>
      <w:r>
        <w:rPr>
          <w:rFonts w:ascii="Times New Roman" w:hAnsi="Times New Roman" w:cs="Times New Roman"/>
          <w:sz w:val="24"/>
          <w:szCs w:val="24"/>
        </w:rPr>
        <w:t>,8%</w:t>
      </w:r>
      <w:r w:rsidR="00C01F18">
        <w:rPr>
          <w:rFonts w:ascii="Times New Roman" w:hAnsi="Times New Roman" w:cs="Times New Roman"/>
          <w:sz w:val="24"/>
          <w:szCs w:val="24"/>
        </w:rPr>
        <w:t xml:space="preserve">, </w:t>
      </w:r>
      <w:r w:rsidR="00DC090D">
        <w:rPr>
          <w:rFonts w:ascii="Times New Roman" w:hAnsi="Times New Roman" w:cs="Times New Roman"/>
          <w:sz w:val="24"/>
          <w:szCs w:val="24"/>
        </w:rPr>
        <w:t xml:space="preserve">anche </w:t>
      </w:r>
      <w:r w:rsidR="00C01F18">
        <w:rPr>
          <w:rFonts w:ascii="Times New Roman" w:hAnsi="Times New Roman" w:cs="Times New Roman"/>
          <w:sz w:val="24"/>
          <w:szCs w:val="24"/>
        </w:rPr>
        <w:t>i pedoni aumenta</w:t>
      </w:r>
      <w:r w:rsidR="00DC090D">
        <w:rPr>
          <w:rFonts w:ascii="Times New Roman" w:hAnsi="Times New Roman" w:cs="Times New Roman"/>
          <w:sz w:val="24"/>
          <w:szCs w:val="24"/>
        </w:rPr>
        <w:t>vano, in termini percentuali, il numero dell</w:t>
      </w:r>
      <w:r w:rsidR="00C01F18">
        <w:rPr>
          <w:rFonts w:ascii="Times New Roman" w:hAnsi="Times New Roman" w:cs="Times New Roman"/>
          <w:sz w:val="24"/>
          <w:szCs w:val="24"/>
        </w:rPr>
        <w:t>e vittime</w:t>
      </w:r>
      <w:r w:rsidR="00DC090D">
        <w:rPr>
          <w:rFonts w:ascii="Times New Roman" w:hAnsi="Times New Roman" w:cs="Times New Roman"/>
          <w:sz w:val="24"/>
          <w:szCs w:val="24"/>
        </w:rPr>
        <w:t xml:space="preserve"> nel 2014</w:t>
      </w:r>
      <w:r w:rsidR="00C01F18">
        <w:rPr>
          <w:rFonts w:ascii="Times New Roman" w:hAnsi="Times New Roman" w:cs="Times New Roman"/>
          <w:sz w:val="24"/>
          <w:szCs w:val="24"/>
        </w:rPr>
        <w:t xml:space="preserve"> </w:t>
      </w:r>
      <w:r w:rsidR="00DC090D">
        <w:rPr>
          <w:rFonts w:ascii="Times New Roman" w:hAnsi="Times New Roman" w:cs="Times New Roman"/>
          <w:sz w:val="24"/>
          <w:szCs w:val="24"/>
        </w:rPr>
        <w:t xml:space="preserve">(+4,9%), l’aumento del 2015, quindi, si registra </w:t>
      </w:r>
      <w:r w:rsidR="00C01F18">
        <w:rPr>
          <w:rFonts w:ascii="Times New Roman" w:hAnsi="Times New Roman" w:cs="Times New Roman"/>
          <w:sz w:val="24"/>
          <w:szCs w:val="24"/>
        </w:rPr>
        <w:t xml:space="preserve">per il secondo anno consecutivo </w:t>
      </w:r>
    </w:p>
    <w:p w:rsidR="00A748CF" w:rsidRDefault="00A748CF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2BDA" w:rsidRDefault="0002528F" w:rsidP="003807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</w:t>
      </w:r>
      <w:r w:rsidR="00FA2AEF">
        <w:rPr>
          <w:rFonts w:ascii="Times New Roman" w:hAnsi="Times New Roman" w:cs="Times New Roman"/>
          <w:b/>
          <w:sz w:val="24"/>
          <w:szCs w:val="24"/>
        </w:rPr>
        <w:t>. 3</w:t>
      </w:r>
      <w:r w:rsidR="00DA14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92BD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A1492" w:rsidRPr="00DA1492">
        <w:rPr>
          <w:rFonts w:ascii="Times New Roman" w:hAnsi="Times New Roman" w:cs="Times New Roman"/>
          <w:b/>
          <w:sz w:val="24"/>
          <w:szCs w:val="24"/>
        </w:rPr>
        <w:t xml:space="preserve">Morti in incidente stradale per principali categorie di utente della strada. </w:t>
      </w:r>
    </w:p>
    <w:p w:rsidR="00A748CF" w:rsidRDefault="00A92BDA" w:rsidP="003807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AD2243">
        <w:rPr>
          <w:rFonts w:ascii="Times New Roman" w:hAnsi="Times New Roman" w:cs="Times New Roman"/>
          <w:b/>
          <w:sz w:val="24"/>
          <w:szCs w:val="24"/>
        </w:rPr>
        <w:t>Variazioni percentuali 2015</w:t>
      </w:r>
      <w:r w:rsidR="00DA1492" w:rsidRPr="00DA1492">
        <w:rPr>
          <w:rFonts w:ascii="Times New Roman" w:hAnsi="Times New Roman" w:cs="Times New Roman"/>
          <w:b/>
          <w:sz w:val="24"/>
          <w:szCs w:val="24"/>
        </w:rPr>
        <w:t>/201</w:t>
      </w:r>
      <w:r w:rsidR="00AD2243">
        <w:rPr>
          <w:rFonts w:ascii="Times New Roman" w:hAnsi="Times New Roman" w:cs="Times New Roman"/>
          <w:b/>
          <w:sz w:val="24"/>
          <w:szCs w:val="24"/>
        </w:rPr>
        <w:t>4</w:t>
      </w:r>
      <w:r w:rsidR="00DA1492" w:rsidRPr="00DA1492">
        <w:rPr>
          <w:rFonts w:ascii="Times New Roman" w:hAnsi="Times New Roman" w:cs="Times New Roman"/>
          <w:b/>
          <w:sz w:val="24"/>
          <w:szCs w:val="24"/>
        </w:rPr>
        <w:t>, 201</w:t>
      </w:r>
      <w:r w:rsidR="00AD2243">
        <w:rPr>
          <w:rFonts w:ascii="Times New Roman" w:hAnsi="Times New Roman" w:cs="Times New Roman"/>
          <w:b/>
          <w:sz w:val="24"/>
          <w:szCs w:val="24"/>
        </w:rPr>
        <w:t>5/2010  e 2015</w:t>
      </w:r>
      <w:r w:rsidR="00DA1492" w:rsidRPr="00DA1492">
        <w:rPr>
          <w:rFonts w:ascii="Times New Roman" w:hAnsi="Times New Roman" w:cs="Times New Roman"/>
          <w:b/>
          <w:sz w:val="24"/>
          <w:szCs w:val="24"/>
        </w:rPr>
        <w:t>/2001</w:t>
      </w:r>
    </w:p>
    <w:p w:rsidR="00A92BDA" w:rsidRPr="00DA1492" w:rsidRDefault="00AD2243" w:rsidP="003807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1A949632" wp14:editId="5152BFD3">
            <wp:extent cx="6027088" cy="2782957"/>
            <wp:effectExtent l="0" t="0" r="0" b="0"/>
            <wp:docPr id="7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35823" w:rsidRPr="0002767C" w:rsidRDefault="00435823" w:rsidP="0038079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2767C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02767C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A748CF" w:rsidRDefault="00A748CF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23A6" w:rsidRPr="00645C8B" w:rsidRDefault="0059552D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5C8B">
        <w:rPr>
          <w:rFonts w:ascii="Times New Roman" w:hAnsi="Times New Roman" w:cs="Times New Roman"/>
          <w:sz w:val="24"/>
          <w:szCs w:val="24"/>
        </w:rPr>
        <w:t xml:space="preserve">Per </w:t>
      </w:r>
      <w:r w:rsidR="00033D1A">
        <w:rPr>
          <w:rFonts w:ascii="Times New Roman" w:hAnsi="Times New Roman" w:cs="Times New Roman"/>
          <w:sz w:val="24"/>
          <w:szCs w:val="24"/>
        </w:rPr>
        <w:t>avere una corretta dimensione de</w:t>
      </w:r>
      <w:r w:rsidRPr="00645C8B">
        <w:rPr>
          <w:rFonts w:ascii="Times New Roman" w:hAnsi="Times New Roman" w:cs="Times New Roman"/>
          <w:sz w:val="24"/>
          <w:szCs w:val="24"/>
        </w:rPr>
        <w:t>l fenomeno dell’incidentalità e poter avere una visione temporale</w:t>
      </w:r>
      <w:r w:rsidR="00184D5B">
        <w:rPr>
          <w:rFonts w:ascii="Times New Roman" w:hAnsi="Times New Roman" w:cs="Times New Roman"/>
          <w:sz w:val="24"/>
          <w:szCs w:val="24"/>
        </w:rPr>
        <w:t xml:space="preserve"> e territoriale</w:t>
      </w:r>
      <w:r w:rsidR="006D6849">
        <w:rPr>
          <w:rFonts w:ascii="Times New Roman" w:hAnsi="Times New Roman" w:cs="Times New Roman"/>
          <w:sz w:val="24"/>
          <w:szCs w:val="24"/>
        </w:rPr>
        <w:t xml:space="preserve"> dell’andamento</w:t>
      </w:r>
      <w:r w:rsidR="00033D1A">
        <w:rPr>
          <w:rFonts w:ascii="Times New Roman" w:hAnsi="Times New Roman" w:cs="Times New Roman"/>
          <w:sz w:val="24"/>
          <w:szCs w:val="24"/>
        </w:rPr>
        <w:t>, risulta</w:t>
      </w:r>
      <w:r w:rsidR="006D6849">
        <w:rPr>
          <w:rFonts w:ascii="Times New Roman" w:hAnsi="Times New Roman" w:cs="Times New Roman"/>
          <w:sz w:val="24"/>
          <w:szCs w:val="24"/>
        </w:rPr>
        <w:t xml:space="preserve"> utile costruire anche</w:t>
      </w:r>
      <w:r w:rsidR="00BE7335" w:rsidRPr="00645C8B">
        <w:rPr>
          <w:rFonts w:ascii="Times New Roman" w:hAnsi="Times New Roman" w:cs="Times New Roman"/>
          <w:sz w:val="24"/>
          <w:szCs w:val="24"/>
        </w:rPr>
        <w:t xml:space="preserve"> tassi di mortalità </w:t>
      </w:r>
      <w:r w:rsidRPr="00645C8B">
        <w:rPr>
          <w:rFonts w:ascii="Times New Roman" w:hAnsi="Times New Roman" w:cs="Times New Roman"/>
          <w:sz w:val="24"/>
          <w:szCs w:val="24"/>
        </w:rPr>
        <w:t>e lesività</w:t>
      </w:r>
      <w:r w:rsidR="00BE7335" w:rsidRPr="00645C8B">
        <w:rPr>
          <w:rFonts w:ascii="Times New Roman" w:hAnsi="Times New Roman" w:cs="Times New Roman"/>
          <w:sz w:val="24"/>
          <w:szCs w:val="24"/>
        </w:rPr>
        <w:t xml:space="preserve"> </w:t>
      </w:r>
      <w:r w:rsidR="006D6849">
        <w:rPr>
          <w:rFonts w:ascii="Times New Roman" w:hAnsi="Times New Roman" w:cs="Times New Roman"/>
          <w:sz w:val="24"/>
          <w:szCs w:val="24"/>
        </w:rPr>
        <w:t xml:space="preserve">per incidente stradale, </w:t>
      </w:r>
      <w:r w:rsidR="00BE7335" w:rsidRPr="00645C8B">
        <w:rPr>
          <w:rFonts w:ascii="Times New Roman" w:hAnsi="Times New Roman" w:cs="Times New Roman"/>
          <w:sz w:val="24"/>
          <w:szCs w:val="24"/>
        </w:rPr>
        <w:t>nel tempo</w:t>
      </w:r>
      <w:r w:rsidR="00EC41DA" w:rsidRPr="00645C8B">
        <w:rPr>
          <w:rFonts w:ascii="Times New Roman" w:hAnsi="Times New Roman" w:cs="Times New Roman"/>
          <w:sz w:val="24"/>
          <w:szCs w:val="24"/>
        </w:rPr>
        <w:t xml:space="preserve"> </w:t>
      </w:r>
      <w:r w:rsidR="006D6849">
        <w:rPr>
          <w:rFonts w:ascii="Times New Roman" w:hAnsi="Times New Roman" w:cs="Times New Roman"/>
          <w:sz w:val="24"/>
          <w:szCs w:val="24"/>
        </w:rPr>
        <w:t xml:space="preserve">e </w:t>
      </w:r>
      <w:r w:rsidR="00EC41DA" w:rsidRPr="00645C8B">
        <w:rPr>
          <w:rFonts w:ascii="Times New Roman" w:hAnsi="Times New Roman" w:cs="Times New Roman"/>
          <w:sz w:val="24"/>
          <w:szCs w:val="24"/>
        </w:rPr>
        <w:t>in rapporto alla popolazione</w:t>
      </w:r>
      <w:r w:rsidRPr="00645C8B">
        <w:rPr>
          <w:rFonts w:ascii="Times New Roman" w:hAnsi="Times New Roman" w:cs="Times New Roman"/>
          <w:sz w:val="24"/>
          <w:szCs w:val="24"/>
        </w:rPr>
        <w:t>.</w:t>
      </w:r>
    </w:p>
    <w:p w:rsidR="006D3654" w:rsidRDefault="00EC41DA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5C8B">
        <w:rPr>
          <w:rFonts w:ascii="Times New Roman" w:hAnsi="Times New Roman" w:cs="Times New Roman"/>
          <w:sz w:val="24"/>
          <w:szCs w:val="24"/>
        </w:rPr>
        <w:t>I</w:t>
      </w:r>
      <w:r w:rsidR="0059552D" w:rsidRPr="00645C8B">
        <w:rPr>
          <w:rFonts w:ascii="Times New Roman" w:hAnsi="Times New Roman" w:cs="Times New Roman"/>
          <w:sz w:val="24"/>
          <w:szCs w:val="24"/>
        </w:rPr>
        <w:t xml:space="preserve">l </w:t>
      </w:r>
      <w:r w:rsidR="0059552D" w:rsidRPr="00645C8B">
        <w:rPr>
          <w:rFonts w:ascii="Times New Roman" w:hAnsi="Times New Roman" w:cs="Times New Roman"/>
          <w:i/>
          <w:sz w:val="24"/>
          <w:szCs w:val="24"/>
        </w:rPr>
        <w:t xml:space="preserve">tasso di mortalità </w:t>
      </w:r>
      <w:r w:rsidR="00D52EA6" w:rsidRPr="00645C8B">
        <w:rPr>
          <w:rFonts w:ascii="Times New Roman" w:hAnsi="Times New Roman" w:cs="Times New Roman"/>
          <w:i/>
          <w:sz w:val="24"/>
          <w:szCs w:val="24"/>
        </w:rPr>
        <w:t xml:space="preserve">per </w:t>
      </w:r>
      <w:r w:rsidR="0059552D" w:rsidRPr="00645C8B">
        <w:rPr>
          <w:rFonts w:ascii="Times New Roman" w:hAnsi="Times New Roman" w:cs="Times New Roman"/>
          <w:i/>
          <w:sz w:val="24"/>
          <w:szCs w:val="24"/>
        </w:rPr>
        <w:t>incidente stradale</w:t>
      </w:r>
      <w:r w:rsidR="0059552D" w:rsidRPr="00645C8B">
        <w:rPr>
          <w:rFonts w:ascii="Times New Roman" w:hAnsi="Times New Roman" w:cs="Times New Roman"/>
          <w:sz w:val="24"/>
          <w:szCs w:val="24"/>
        </w:rPr>
        <w:t xml:space="preserve"> </w:t>
      </w:r>
      <w:r w:rsidR="00360BC4" w:rsidRPr="00645C8B">
        <w:rPr>
          <w:rFonts w:ascii="Times New Roman" w:hAnsi="Times New Roman" w:cs="Times New Roman"/>
          <w:sz w:val="24"/>
          <w:szCs w:val="24"/>
        </w:rPr>
        <w:t>è stato costruito come il rapporto tra il numero di morti in incidente stradale e la popolazione media residente nell’anno in considerazione per 100 mila.</w:t>
      </w:r>
      <w:r w:rsidR="00B82C50" w:rsidRPr="00645C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6E5" w:rsidRPr="00645C8B" w:rsidRDefault="00B82C50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5C8B">
        <w:rPr>
          <w:rFonts w:ascii="Times New Roman" w:hAnsi="Times New Roman" w:cs="Times New Roman"/>
          <w:sz w:val="24"/>
          <w:szCs w:val="24"/>
        </w:rPr>
        <w:t>I</w:t>
      </w:r>
      <w:r w:rsidR="0059552D" w:rsidRPr="00645C8B">
        <w:rPr>
          <w:rFonts w:ascii="Times New Roman" w:hAnsi="Times New Roman" w:cs="Times New Roman"/>
          <w:sz w:val="24"/>
          <w:szCs w:val="24"/>
        </w:rPr>
        <w:t>n Italia nel 201</w:t>
      </w:r>
      <w:r w:rsidR="00DE47FB">
        <w:rPr>
          <w:rFonts w:ascii="Times New Roman" w:hAnsi="Times New Roman" w:cs="Times New Roman"/>
          <w:sz w:val="24"/>
          <w:szCs w:val="24"/>
        </w:rPr>
        <w:t>5</w:t>
      </w:r>
      <w:r w:rsidR="0059552D" w:rsidRPr="00645C8B">
        <w:rPr>
          <w:rFonts w:ascii="Times New Roman" w:hAnsi="Times New Roman" w:cs="Times New Roman"/>
          <w:sz w:val="24"/>
          <w:szCs w:val="24"/>
        </w:rPr>
        <w:t xml:space="preserve"> </w:t>
      </w:r>
      <w:r w:rsidRPr="00645C8B">
        <w:rPr>
          <w:rFonts w:ascii="Times New Roman" w:hAnsi="Times New Roman" w:cs="Times New Roman"/>
          <w:sz w:val="24"/>
          <w:szCs w:val="24"/>
        </w:rPr>
        <w:t xml:space="preserve">il tasso di mortalità </w:t>
      </w:r>
      <w:r w:rsidR="00B05EAB" w:rsidRPr="00645C8B">
        <w:rPr>
          <w:rFonts w:ascii="Times New Roman" w:hAnsi="Times New Roman" w:cs="Times New Roman"/>
          <w:sz w:val="24"/>
          <w:szCs w:val="24"/>
        </w:rPr>
        <w:t xml:space="preserve">è </w:t>
      </w:r>
      <w:r w:rsidR="006D6849">
        <w:rPr>
          <w:rFonts w:ascii="Times New Roman" w:hAnsi="Times New Roman" w:cs="Times New Roman"/>
          <w:sz w:val="24"/>
          <w:szCs w:val="24"/>
        </w:rPr>
        <w:t xml:space="preserve">pari a </w:t>
      </w:r>
      <w:r w:rsidR="00DE47FB">
        <w:rPr>
          <w:rFonts w:ascii="Times New Roman" w:hAnsi="Times New Roman" w:cs="Times New Roman"/>
          <w:sz w:val="24"/>
          <w:szCs w:val="24"/>
        </w:rPr>
        <w:t>5,64</w:t>
      </w:r>
      <w:r w:rsidR="00016770">
        <w:rPr>
          <w:rFonts w:ascii="Times New Roman" w:hAnsi="Times New Roman" w:cs="Times New Roman"/>
          <w:sz w:val="24"/>
          <w:szCs w:val="24"/>
        </w:rPr>
        <w:t xml:space="preserve"> </w:t>
      </w:r>
      <w:r w:rsidR="00B05EAB" w:rsidRPr="00645C8B">
        <w:rPr>
          <w:rFonts w:ascii="Times New Roman" w:hAnsi="Times New Roman" w:cs="Times New Roman"/>
          <w:sz w:val="24"/>
          <w:szCs w:val="24"/>
        </w:rPr>
        <w:t xml:space="preserve">morti in incidente stradale </w:t>
      </w:r>
      <w:r w:rsidR="0009621C" w:rsidRPr="00645C8B">
        <w:rPr>
          <w:rFonts w:ascii="Times New Roman" w:hAnsi="Times New Roman" w:cs="Times New Roman"/>
          <w:sz w:val="24"/>
          <w:szCs w:val="24"/>
        </w:rPr>
        <w:t>ogni</w:t>
      </w:r>
      <w:r w:rsidR="00B05EAB" w:rsidRPr="00645C8B">
        <w:rPr>
          <w:rFonts w:ascii="Times New Roman" w:hAnsi="Times New Roman" w:cs="Times New Roman"/>
          <w:sz w:val="24"/>
          <w:szCs w:val="24"/>
        </w:rPr>
        <w:t xml:space="preserve"> </w:t>
      </w:r>
      <w:r w:rsidR="0059552D" w:rsidRPr="00645C8B">
        <w:rPr>
          <w:rFonts w:ascii="Times New Roman" w:hAnsi="Times New Roman" w:cs="Times New Roman"/>
          <w:sz w:val="24"/>
          <w:szCs w:val="24"/>
        </w:rPr>
        <w:t>100</w:t>
      </w:r>
      <w:r w:rsidRPr="00645C8B">
        <w:rPr>
          <w:rFonts w:ascii="Times New Roman" w:hAnsi="Times New Roman" w:cs="Times New Roman"/>
          <w:sz w:val="24"/>
          <w:szCs w:val="24"/>
        </w:rPr>
        <w:t xml:space="preserve"> </w:t>
      </w:r>
      <w:r w:rsidR="0059552D" w:rsidRPr="00645C8B">
        <w:rPr>
          <w:rFonts w:ascii="Times New Roman" w:hAnsi="Times New Roman" w:cs="Times New Roman"/>
          <w:sz w:val="24"/>
          <w:szCs w:val="24"/>
        </w:rPr>
        <w:t>mila abitanti</w:t>
      </w:r>
      <w:r w:rsidR="00592125">
        <w:rPr>
          <w:rFonts w:ascii="Times New Roman" w:hAnsi="Times New Roman" w:cs="Times New Roman"/>
          <w:sz w:val="24"/>
          <w:szCs w:val="24"/>
        </w:rPr>
        <w:t xml:space="preserve"> </w:t>
      </w:r>
      <w:r w:rsidR="00837FA1">
        <w:rPr>
          <w:rFonts w:ascii="Times New Roman" w:hAnsi="Times New Roman" w:cs="Times New Roman"/>
          <w:sz w:val="24"/>
          <w:szCs w:val="24"/>
        </w:rPr>
        <w:t>(</w:t>
      </w:r>
      <w:r w:rsidR="00204B48">
        <w:rPr>
          <w:rFonts w:ascii="Times New Roman" w:hAnsi="Times New Roman" w:cs="Times New Roman"/>
          <w:sz w:val="24"/>
          <w:szCs w:val="24"/>
        </w:rPr>
        <w:t>Tab.</w:t>
      </w:r>
      <w:r w:rsidR="00856AB3" w:rsidRPr="00F95A75">
        <w:rPr>
          <w:rFonts w:ascii="Times New Roman" w:hAnsi="Times New Roman" w:cs="Times New Roman"/>
          <w:sz w:val="24"/>
          <w:szCs w:val="24"/>
        </w:rPr>
        <w:t>3</w:t>
      </w:r>
      <w:r w:rsidR="00E9474C" w:rsidRPr="00645C8B">
        <w:rPr>
          <w:rFonts w:ascii="Times New Roman" w:hAnsi="Times New Roman" w:cs="Times New Roman"/>
          <w:sz w:val="24"/>
          <w:szCs w:val="24"/>
        </w:rPr>
        <w:t>)</w:t>
      </w:r>
      <w:r w:rsidR="0059552D" w:rsidRPr="00645C8B">
        <w:rPr>
          <w:rFonts w:ascii="Times New Roman" w:hAnsi="Times New Roman" w:cs="Times New Roman"/>
          <w:sz w:val="24"/>
          <w:szCs w:val="24"/>
        </w:rPr>
        <w:t xml:space="preserve">. </w:t>
      </w:r>
      <w:r w:rsidR="00016770">
        <w:rPr>
          <w:rFonts w:ascii="Times New Roman" w:hAnsi="Times New Roman" w:cs="Times New Roman"/>
          <w:sz w:val="24"/>
          <w:szCs w:val="24"/>
        </w:rPr>
        <w:t>A</w:t>
      </w:r>
      <w:r w:rsidR="0059552D" w:rsidRPr="00645C8B">
        <w:rPr>
          <w:rFonts w:ascii="Times New Roman" w:hAnsi="Times New Roman" w:cs="Times New Roman"/>
          <w:sz w:val="24"/>
          <w:szCs w:val="24"/>
        </w:rPr>
        <w:t>spetto interessante è</w:t>
      </w:r>
      <w:r w:rsidR="00016770">
        <w:rPr>
          <w:rFonts w:ascii="Times New Roman" w:hAnsi="Times New Roman" w:cs="Times New Roman"/>
          <w:sz w:val="24"/>
          <w:szCs w:val="24"/>
        </w:rPr>
        <w:t xml:space="preserve"> rappresentato, inoltre, dal</w:t>
      </w:r>
      <w:r w:rsidR="005C15D1">
        <w:rPr>
          <w:rFonts w:ascii="Times New Roman" w:hAnsi="Times New Roman" w:cs="Times New Roman"/>
          <w:sz w:val="24"/>
          <w:szCs w:val="24"/>
        </w:rPr>
        <w:t>l’evoluzione del tasso: dal 20</w:t>
      </w:r>
      <w:r w:rsidR="0059552D" w:rsidRPr="00645C8B">
        <w:rPr>
          <w:rFonts w:ascii="Times New Roman" w:hAnsi="Times New Roman" w:cs="Times New Roman"/>
          <w:sz w:val="24"/>
          <w:szCs w:val="24"/>
        </w:rPr>
        <w:t>1</w:t>
      </w:r>
      <w:r w:rsidR="005C15D1">
        <w:rPr>
          <w:rFonts w:ascii="Times New Roman" w:hAnsi="Times New Roman" w:cs="Times New Roman"/>
          <w:sz w:val="24"/>
          <w:szCs w:val="24"/>
        </w:rPr>
        <w:t>0</w:t>
      </w:r>
      <w:r w:rsidR="0059552D" w:rsidRPr="00645C8B">
        <w:rPr>
          <w:rFonts w:ascii="Times New Roman" w:hAnsi="Times New Roman" w:cs="Times New Roman"/>
          <w:sz w:val="24"/>
          <w:szCs w:val="24"/>
        </w:rPr>
        <w:t xml:space="preserve"> al 201</w:t>
      </w:r>
      <w:r w:rsidR="00D50046">
        <w:rPr>
          <w:rFonts w:ascii="Times New Roman" w:hAnsi="Times New Roman" w:cs="Times New Roman"/>
          <w:sz w:val="24"/>
          <w:szCs w:val="24"/>
        </w:rPr>
        <w:t>5</w:t>
      </w:r>
      <w:r w:rsidR="0059552D" w:rsidRPr="00645C8B">
        <w:rPr>
          <w:rFonts w:ascii="Times New Roman" w:hAnsi="Times New Roman" w:cs="Times New Roman"/>
          <w:sz w:val="24"/>
          <w:szCs w:val="24"/>
        </w:rPr>
        <w:t xml:space="preserve"> il tass</w:t>
      </w:r>
      <w:r w:rsidR="005C15D1">
        <w:rPr>
          <w:rFonts w:ascii="Times New Roman" w:hAnsi="Times New Roman" w:cs="Times New Roman"/>
          <w:sz w:val="24"/>
          <w:szCs w:val="24"/>
        </w:rPr>
        <w:t>o</w:t>
      </w:r>
      <w:r w:rsidR="00DE47FB">
        <w:rPr>
          <w:rFonts w:ascii="Times New Roman" w:hAnsi="Times New Roman" w:cs="Times New Roman"/>
          <w:sz w:val="24"/>
          <w:szCs w:val="24"/>
        </w:rPr>
        <w:t xml:space="preserve"> di mortalità è diminuito d</w:t>
      </w:r>
      <w:r w:rsidR="00D50046">
        <w:rPr>
          <w:rFonts w:ascii="Times New Roman" w:hAnsi="Times New Roman" w:cs="Times New Roman"/>
          <w:sz w:val="24"/>
          <w:szCs w:val="24"/>
        </w:rPr>
        <w:t>el 18,7</w:t>
      </w:r>
      <w:r w:rsidR="00DE47FB">
        <w:rPr>
          <w:rFonts w:ascii="Times New Roman" w:hAnsi="Times New Roman" w:cs="Times New Roman"/>
          <w:sz w:val="24"/>
          <w:szCs w:val="24"/>
        </w:rPr>
        <w:t>%</w:t>
      </w:r>
      <w:r w:rsidR="0059552D" w:rsidRPr="00645C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2B6A" w:rsidRDefault="00184D5B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Passando all’anal</w:t>
      </w:r>
      <w:r w:rsidR="00050765">
        <w:rPr>
          <w:rFonts w:ascii="Times New Roman" w:hAnsi="Times New Roman" w:cs="Times New Roman"/>
          <w:sz w:val="24"/>
          <w:szCs w:val="24"/>
        </w:rPr>
        <w:t xml:space="preserve">isi territoriale, </w:t>
      </w:r>
      <w:r w:rsidR="005F2B6A">
        <w:rPr>
          <w:rFonts w:ascii="Times New Roman" w:hAnsi="Times New Roman" w:cs="Times New Roman"/>
          <w:sz w:val="24"/>
          <w:szCs w:val="24"/>
        </w:rPr>
        <w:t>nel 201</w:t>
      </w:r>
      <w:r w:rsidR="00914B0D">
        <w:rPr>
          <w:rFonts w:ascii="Times New Roman" w:hAnsi="Times New Roman" w:cs="Times New Roman"/>
          <w:sz w:val="24"/>
          <w:szCs w:val="24"/>
        </w:rPr>
        <w:t>5</w:t>
      </w:r>
      <w:r w:rsidR="006D6849">
        <w:rPr>
          <w:rFonts w:ascii="Times New Roman" w:hAnsi="Times New Roman" w:cs="Times New Roman"/>
          <w:sz w:val="24"/>
          <w:szCs w:val="24"/>
        </w:rPr>
        <w:t>,</w:t>
      </w:r>
      <w:r w:rsidR="005F2B6A">
        <w:rPr>
          <w:rFonts w:ascii="Times New Roman" w:hAnsi="Times New Roman" w:cs="Times New Roman"/>
          <w:sz w:val="24"/>
          <w:szCs w:val="24"/>
        </w:rPr>
        <w:t xml:space="preserve"> </w:t>
      </w:r>
      <w:r w:rsidR="00050765">
        <w:rPr>
          <w:rFonts w:ascii="Times New Roman" w:hAnsi="Times New Roman" w:cs="Times New Roman"/>
          <w:sz w:val="24"/>
          <w:szCs w:val="24"/>
        </w:rPr>
        <w:t>si registrano tassi</w:t>
      </w:r>
      <w:r w:rsidR="00016770">
        <w:rPr>
          <w:rFonts w:ascii="Times New Roman" w:hAnsi="Times New Roman" w:cs="Times New Roman"/>
          <w:sz w:val="24"/>
          <w:szCs w:val="24"/>
        </w:rPr>
        <w:t xml:space="preserve"> </w:t>
      </w:r>
      <w:r w:rsidR="005F2B6A">
        <w:rPr>
          <w:rFonts w:ascii="Times New Roman" w:hAnsi="Times New Roman" w:cs="Times New Roman"/>
          <w:sz w:val="24"/>
          <w:szCs w:val="24"/>
        </w:rPr>
        <w:t xml:space="preserve">di mortalità </w:t>
      </w:r>
      <w:r w:rsidR="006D6849">
        <w:rPr>
          <w:rFonts w:ascii="Times New Roman" w:hAnsi="Times New Roman" w:cs="Times New Roman"/>
          <w:sz w:val="24"/>
          <w:szCs w:val="24"/>
        </w:rPr>
        <w:t xml:space="preserve">più </w:t>
      </w:r>
      <w:r w:rsidR="005F2B6A">
        <w:rPr>
          <w:rFonts w:ascii="Times New Roman" w:hAnsi="Times New Roman" w:cs="Times New Roman"/>
          <w:sz w:val="24"/>
          <w:szCs w:val="24"/>
        </w:rPr>
        <w:t>bassi</w:t>
      </w:r>
      <w:r w:rsidR="006D6849">
        <w:rPr>
          <w:rFonts w:ascii="Times New Roman" w:hAnsi="Times New Roman" w:cs="Times New Roman"/>
          <w:sz w:val="24"/>
          <w:szCs w:val="24"/>
        </w:rPr>
        <w:t xml:space="preserve"> e al di sotto della media nazionale</w:t>
      </w:r>
      <w:r w:rsidR="005F2B6A">
        <w:rPr>
          <w:rFonts w:ascii="Times New Roman" w:hAnsi="Times New Roman" w:cs="Times New Roman"/>
          <w:sz w:val="24"/>
          <w:szCs w:val="24"/>
        </w:rPr>
        <w:t xml:space="preserve"> in </w:t>
      </w:r>
      <w:r w:rsidR="005F2B6A" w:rsidRPr="005F2B6A">
        <w:rPr>
          <w:rFonts w:ascii="Times New Roman" w:hAnsi="Times New Roman" w:cs="Times New Roman"/>
          <w:sz w:val="24"/>
          <w:szCs w:val="24"/>
        </w:rPr>
        <w:t>Campania</w:t>
      </w:r>
      <w:r w:rsidR="005F2B6A">
        <w:rPr>
          <w:rFonts w:ascii="Times New Roman" w:hAnsi="Times New Roman" w:cs="Times New Roman"/>
          <w:sz w:val="24"/>
          <w:szCs w:val="24"/>
        </w:rPr>
        <w:t xml:space="preserve"> (</w:t>
      </w:r>
      <w:r w:rsidR="00914B0D">
        <w:rPr>
          <w:rFonts w:ascii="Times New Roman" w:hAnsi="Times New Roman" w:cs="Times New Roman"/>
          <w:sz w:val="24"/>
          <w:szCs w:val="24"/>
        </w:rPr>
        <w:t>4,01</w:t>
      </w:r>
      <w:r w:rsidR="005F2B6A">
        <w:rPr>
          <w:rFonts w:ascii="Times New Roman" w:hAnsi="Times New Roman" w:cs="Times New Roman"/>
          <w:sz w:val="24"/>
          <w:szCs w:val="24"/>
        </w:rPr>
        <w:t>)</w:t>
      </w:r>
      <w:r w:rsidR="00914B0D">
        <w:rPr>
          <w:rFonts w:ascii="Times New Roman" w:hAnsi="Times New Roman" w:cs="Times New Roman"/>
          <w:sz w:val="24"/>
          <w:szCs w:val="24"/>
        </w:rPr>
        <w:t>,</w:t>
      </w:r>
      <w:r w:rsidR="005F2B6A">
        <w:rPr>
          <w:rFonts w:ascii="Times New Roman" w:hAnsi="Times New Roman" w:cs="Times New Roman"/>
          <w:sz w:val="24"/>
          <w:szCs w:val="24"/>
        </w:rPr>
        <w:t xml:space="preserve"> Sicilia</w:t>
      </w:r>
      <w:r w:rsidR="005F2B6A" w:rsidRPr="005F2B6A">
        <w:rPr>
          <w:rFonts w:ascii="Times New Roman" w:hAnsi="Times New Roman" w:cs="Times New Roman"/>
          <w:sz w:val="24"/>
          <w:szCs w:val="24"/>
        </w:rPr>
        <w:t xml:space="preserve"> </w:t>
      </w:r>
      <w:r w:rsidR="005F2B6A">
        <w:rPr>
          <w:rFonts w:ascii="Times New Roman" w:hAnsi="Times New Roman" w:cs="Times New Roman"/>
          <w:sz w:val="24"/>
          <w:szCs w:val="24"/>
        </w:rPr>
        <w:t>(</w:t>
      </w:r>
      <w:r w:rsidR="00914B0D">
        <w:rPr>
          <w:rFonts w:ascii="Times New Roman" w:hAnsi="Times New Roman" w:cs="Times New Roman"/>
          <w:sz w:val="24"/>
          <w:szCs w:val="24"/>
        </w:rPr>
        <w:t>4,43</w:t>
      </w:r>
      <w:r w:rsidR="005F2B6A">
        <w:rPr>
          <w:rFonts w:ascii="Times New Roman" w:hAnsi="Times New Roman" w:cs="Times New Roman"/>
          <w:sz w:val="24"/>
          <w:szCs w:val="24"/>
        </w:rPr>
        <w:t>)</w:t>
      </w:r>
      <w:r w:rsidR="00914B0D">
        <w:rPr>
          <w:rFonts w:ascii="Times New Roman" w:hAnsi="Times New Roman" w:cs="Times New Roman"/>
          <w:sz w:val="24"/>
          <w:szCs w:val="24"/>
        </w:rPr>
        <w:t xml:space="preserve"> e Calabria (4,76)</w:t>
      </w:r>
      <w:r w:rsidR="005F2B6A">
        <w:rPr>
          <w:rFonts w:ascii="Times New Roman" w:hAnsi="Times New Roman" w:cs="Times New Roman"/>
          <w:sz w:val="24"/>
          <w:szCs w:val="24"/>
        </w:rPr>
        <w:t>, di contro</w:t>
      </w:r>
      <w:r w:rsidR="00914B0D">
        <w:rPr>
          <w:rFonts w:ascii="Times New Roman" w:hAnsi="Times New Roman" w:cs="Times New Roman"/>
          <w:sz w:val="24"/>
          <w:szCs w:val="24"/>
        </w:rPr>
        <w:t xml:space="preserve"> si ha una mortalità elevata a Trento </w:t>
      </w:r>
      <w:r w:rsidR="005F2B6A">
        <w:rPr>
          <w:rFonts w:ascii="Times New Roman" w:hAnsi="Times New Roman" w:cs="Times New Roman"/>
          <w:sz w:val="24"/>
          <w:szCs w:val="24"/>
        </w:rPr>
        <w:t>(</w:t>
      </w:r>
      <w:r w:rsidR="00914B0D">
        <w:rPr>
          <w:rFonts w:ascii="Times New Roman" w:hAnsi="Times New Roman" w:cs="Times New Roman"/>
          <w:sz w:val="24"/>
          <w:szCs w:val="24"/>
        </w:rPr>
        <w:t>7,81</w:t>
      </w:r>
      <w:r w:rsidR="005F2B6A">
        <w:rPr>
          <w:rFonts w:ascii="Times New Roman" w:hAnsi="Times New Roman" w:cs="Times New Roman"/>
          <w:sz w:val="24"/>
          <w:szCs w:val="24"/>
        </w:rPr>
        <w:t xml:space="preserve">), </w:t>
      </w:r>
      <w:r w:rsidR="00914B0D">
        <w:rPr>
          <w:rFonts w:ascii="Times New Roman" w:hAnsi="Times New Roman" w:cs="Times New Roman"/>
          <w:sz w:val="24"/>
          <w:szCs w:val="24"/>
        </w:rPr>
        <w:t>Basilicata</w:t>
      </w:r>
      <w:r w:rsidR="005F2B6A">
        <w:rPr>
          <w:rFonts w:ascii="Times New Roman" w:hAnsi="Times New Roman" w:cs="Times New Roman"/>
          <w:sz w:val="24"/>
          <w:szCs w:val="24"/>
        </w:rPr>
        <w:t xml:space="preserve"> (</w:t>
      </w:r>
      <w:r w:rsidR="00914B0D">
        <w:rPr>
          <w:rFonts w:ascii="Times New Roman" w:hAnsi="Times New Roman" w:cs="Times New Roman"/>
          <w:sz w:val="24"/>
          <w:szCs w:val="24"/>
        </w:rPr>
        <w:t>7,48</w:t>
      </w:r>
      <w:r w:rsidR="005F2B6A">
        <w:rPr>
          <w:rFonts w:ascii="Times New Roman" w:hAnsi="Times New Roman" w:cs="Times New Roman"/>
          <w:sz w:val="24"/>
          <w:szCs w:val="24"/>
        </w:rPr>
        <w:t xml:space="preserve">) e </w:t>
      </w:r>
      <w:r w:rsidR="00914B0D">
        <w:rPr>
          <w:rFonts w:ascii="Times New Roman" w:hAnsi="Times New Roman" w:cs="Times New Roman"/>
          <w:sz w:val="24"/>
          <w:szCs w:val="24"/>
        </w:rPr>
        <w:t>Emilia Romagna</w:t>
      </w:r>
      <w:r w:rsidR="005F2B6A">
        <w:rPr>
          <w:rFonts w:ascii="Times New Roman" w:hAnsi="Times New Roman" w:cs="Times New Roman"/>
          <w:sz w:val="24"/>
          <w:szCs w:val="24"/>
        </w:rPr>
        <w:t xml:space="preserve"> (</w:t>
      </w:r>
      <w:r w:rsidR="00914B0D">
        <w:rPr>
          <w:rFonts w:ascii="Times New Roman" w:hAnsi="Times New Roman" w:cs="Times New Roman"/>
          <w:sz w:val="24"/>
          <w:szCs w:val="24"/>
        </w:rPr>
        <w:t>7,33)</w:t>
      </w:r>
      <w:r w:rsidR="005F2B6A">
        <w:rPr>
          <w:rFonts w:ascii="Times New Roman" w:hAnsi="Times New Roman" w:cs="Times New Roman"/>
          <w:sz w:val="24"/>
          <w:szCs w:val="24"/>
        </w:rPr>
        <w:t>.</w:t>
      </w:r>
    </w:p>
    <w:p w:rsidR="00E050C6" w:rsidRDefault="00FD2303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Il tasso di </w:t>
      </w:r>
      <w:r w:rsidR="0059552D" w:rsidRPr="00645C8B">
        <w:rPr>
          <w:rFonts w:ascii="Times New Roman" w:hAnsi="Times New Roman" w:cs="Times New Roman"/>
          <w:sz w:val="24"/>
          <w:szCs w:val="24"/>
        </w:rPr>
        <w:t>mortalità</w:t>
      </w:r>
      <w:r w:rsidR="00050765">
        <w:rPr>
          <w:rFonts w:ascii="Times New Roman" w:hAnsi="Times New Roman" w:cs="Times New Roman"/>
          <w:sz w:val="24"/>
          <w:szCs w:val="24"/>
        </w:rPr>
        <w:t>, tra il 2001 e il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59552D" w:rsidRPr="00645C8B">
        <w:rPr>
          <w:rFonts w:ascii="Times New Roman" w:hAnsi="Times New Roman" w:cs="Times New Roman"/>
          <w:sz w:val="24"/>
          <w:szCs w:val="24"/>
        </w:rPr>
        <w:t xml:space="preserve"> ha avuto una riduzione maggiore</w:t>
      </w:r>
      <w:r w:rsidR="005C15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Friuli Venezia Giulia (-67,34%), Bolzano (-67,00%) e Emilia Romagna (-64,17%) mentre il calo è stato più contenuto in Basilicata (-24,17), Trento (-27,14) e Campania (-35,88).</w:t>
      </w:r>
      <w:r w:rsidR="00E050C6" w:rsidRPr="00645C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4389" w:rsidRDefault="00AF4389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7BE6" w:rsidRDefault="00F01F41" w:rsidP="00380794">
      <w:pPr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564D10">
        <w:rPr>
          <w:rFonts w:ascii="Times New Roman" w:hAnsi="Times New Roman" w:cs="Times New Roman"/>
          <w:b/>
          <w:spacing w:val="-4"/>
          <w:sz w:val="24"/>
          <w:szCs w:val="24"/>
        </w:rPr>
        <w:t>Tab</w:t>
      </w:r>
      <w:r w:rsidR="00050765" w:rsidRPr="00564D10">
        <w:rPr>
          <w:rFonts w:ascii="Times New Roman" w:hAnsi="Times New Roman" w:cs="Times New Roman"/>
          <w:b/>
          <w:spacing w:val="-4"/>
          <w:sz w:val="24"/>
          <w:szCs w:val="24"/>
        </w:rPr>
        <w:t>.</w:t>
      </w:r>
      <w:r w:rsidR="00AF1C3F" w:rsidRPr="00564D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856AB3" w:rsidRPr="00564D10">
        <w:rPr>
          <w:rFonts w:ascii="Times New Roman" w:hAnsi="Times New Roman" w:cs="Times New Roman"/>
          <w:b/>
          <w:spacing w:val="-4"/>
          <w:sz w:val="24"/>
          <w:szCs w:val="24"/>
        </w:rPr>
        <w:t>3</w:t>
      </w:r>
      <w:r w:rsidR="00564D10" w:rsidRPr="00564D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-</w:t>
      </w:r>
      <w:r w:rsidR="00050765" w:rsidRPr="00564D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CC3C4C" w:rsidRPr="00564D10">
        <w:rPr>
          <w:rFonts w:ascii="Times New Roman" w:hAnsi="Times New Roman" w:cs="Times New Roman"/>
          <w:b/>
          <w:spacing w:val="-4"/>
          <w:sz w:val="24"/>
          <w:szCs w:val="24"/>
        </w:rPr>
        <w:t>Tasso di mortal</w:t>
      </w:r>
      <w:r w:rsidR="00E9474C" w:rsidRPr="00564D10">
        <w:rPr>
          <w:rFonts w:ascii="Times New Roman" w:hAnsi="Times New Roman" w:cs="Times New Roman"/>
          <w:b/>
          <w:spacing w:val="-4"/>
          <w:sz w:val="24"/>
          <w:szCs w:val="24"/>
        </w:rPr>
        <w:t>ità per incidente stradale</w:t>
      </w:r>
      <w:r w:rsidR="00EC3C65" w:rsidRPr="00564D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564D10" w:rsidRPr="00564D10">
        <w:rPr>
          <w:rFonts w:ascii="Times New Roman" w:hAnsi="Times New Roman" w:cs="Times New Roman"/>
          <w:b/>
          <w:spacing w:val="-4"/>
          <w:sz w:val="24"/>
          <w:szCs w:val="24"/>
        </w:rPr>
        <w:t>per R</w:t>
      </w:r>
      <w:r w:rsidR="00E9474C" w:rsidRPr="00564D10">
        <w:rPr>
          <w:rFonts w:ascii="Times New Roman" w:hAnsi="Times New Roman" w:cs="Times New Roman"/>
          <w:b/>
          <w:spacing w:val="-4"/>
          <w:sz w:val="24"/>
          <w:szCs w:val="24"/>
        </w:rPr>
        <w:t>egione</w:t>
      </w:r>
      <w:r w:rsidR="00793964" w:rsidRPr="00564D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di evento</w:t>
      </w:r>
      <w:r w:rsidR="00E9474C" w:rsidRPr="00564D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-</w:t>
      </w:r>
      <w:r w:rsidR="00CC3C4C" w:rsidRPr="00564D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Anni 20</w:t>
      </w:r>
      <w:r w:rsidRPr="00564D10">
        <w:rPr>
          <w:rFonts w:ascii="Times New Roman" w:hAnsi="Times New Roman" w:cs="Times New Roman"/>
          <w:b/>
          <w:spacing w:val="-4"/>
          <w:sz w:val="24"/>
          <w:szCs w:val="24"/>
        </w:rPr>
        <w:t>0</w:t>
      </w:r>
      <w:r w:rsidR="00CC3C4C" w:rsidRPr="00564D10">
        <w:rPr>
          <w:rFonts w:ascii="Times New Roman" w:hAnsi="Times New Roman" w:cs="Times New Roman"/>
          <w:b/>
          <w:spacing w:val="-4"/>
          <w:sz w:val="24"/>
          <w:szCs w:val="24"/>
        </w:rPr>
        <w:t>1</w:t>
      </w:r>
      <w:r w:rsidRPr="00564D10">
        <w:rPr>
          <w:rFonts w:ascii="Times New Roman" w:hAnsi="Times New Roman" w:cs="Times New Roman"/>
          <w:b/>
          <w:spacing w:val="-4"/>
          <w:sz w:val="24"/>
          <w:szCs w:val="24"/>
        </w:rPr>
        <w:t>, 2010</w:t>
      </w:r>
      <w:r w:rsidR="00CC3C4C" w:rsidRPr="00564D10">
        <w:rPr>
          <w:rFonts w:ascii="Times New Roman" w:hAnsi="Times New Roman" w:cs="Times New Roman"/>
          <w:b/>
          <w:spacing w:val="-4"/>
          <w:sz w:val="24"/>
          <w:szCs w:val="24"/>
        </w:rPr>
        <w:t>-201</w:t>
      </w:r>
      <w:r w:rsidR="002E3569">
        <w:rPr>
          <w:rFonts w:ascii="Times New Roman" w:hAnsi="Times New Roman" w:cs="Times New Roman"/>
          <w:b/>
          <w:spacing w:val="-4"/>
          <w:sz w:val="24"/>
          <w:szCs w:val="24"/>
        </w:rPr>
        <w:t>5</w:t>
      </w:r>
    </w:p>
    <w:tbl>
      <w:tblPr>
        <w:tblW w:w="7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900"/>
        <w:gridCol w:w="900"/>
        <w:gridCol w:w="900"/>
        <w:gridCol w:w="900"/>
        <w:gridCol w:w="900"/>
        <w:gridCol w:w="1080"/>
        <w:gridCol w:w="860"/>
      </w:tblGrid>
      <w:tr w:rsidR="00E967EE" w:rsidRPr="00E967EE" w:rsidTr="00D50046">
        <w:trPr>
          <w:trHeight w:val="225"/>
        </w:trPr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D50046" w:rsidP="00D50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Regioni</w:t>
            </w:r>
            <w:r w:rsidR="00E967EE"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F9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2015</w:t>
            </w:r>
          </w:p>
        </w:tc>
      </w:tr>
      <w:tr w:rsidR="00E967EE" w:rsidRPr="00E967EE" w:rsidTr="00D50046">
        <w:trPr>
          <w:trHeight w:val="225"/>
        </w:trPr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Piemonte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13,35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7,49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7,34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6,55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5,88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5,98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5,57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Valle d'Aosta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13,40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8,68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7,10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8,65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5,46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10,12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5,48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Liguria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10,99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5,33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5,09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5,62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5,38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3,65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5,64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11,90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5,87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5,49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5,63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4,43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4,49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4,78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Trentino Alto Adige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15,78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5,78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5,65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7,05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5,64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5,69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7,38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Bolzano/Bozen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20,99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6,00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6,95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6,90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6,05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    6,19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6,93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Trento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10,72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5,57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4,39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7,20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5,25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    5,22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7,81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Veneto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15,33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8,17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7,60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7,72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6,10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6,60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6,40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Friuli Venezia Giulia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17,51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8,43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6,89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6,97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6,77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8,14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5,72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Emilia Romagna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20,45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9,28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9,22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8,72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7,80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7,35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7,33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Toscana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14,33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8,35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7,22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6,87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6,02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6,66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6,59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Umbria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14,18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8,96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6,90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5,65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6,84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5,25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7,17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Marche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15,54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7,07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8,37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6,42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5,55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6,44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6,01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Lazio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14,29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8,24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7,74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6,96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6,41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6,31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6,28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Abruzzo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13,31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6,04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6,35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7,03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5,29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5,78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6,32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Molise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11,53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8,89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6,06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6,07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8,28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8,60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7,04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Campania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6,26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4,41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4,21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4,20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4,69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3,97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4,01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Puglia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11,48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7,21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6,69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6,59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5,50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5,65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5,68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Basilicata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9,86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8,27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6,40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8,84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3,81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7,10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7,48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Calabria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8,59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7,02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5,30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6,28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4,98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5,10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4,76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Sicilia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7,34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5,58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5,42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4,58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5,03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4,10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4,43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Sardegna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12,98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6,46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6,10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5,80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7,44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5,89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6,62 </w:t>
            </w:r>
          </w:p>
        </w:tc>
      </w:tr>
      <w:tr w:rsidR="00E967EE" w:rsidRPr="00E967EE" w:rsidTr="00E967E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Italia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12,45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6,94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6,50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6,30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5,65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 5,56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7EE" w:rsidRPr="00E967EE" w:rsidRDefault="00E967EE" w:rsidP="00E96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967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5,64 </w:t>
            </w:r>
          </w:p>
        </w:tc>
      </w:tr>
    </w:tbl>
    <w:p w:rsidR="003135F1" w:rsidRPr="00A548A2" w:rsidRDefault="003135F1" w:rsidP="0038079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9474C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A548A2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564D10" w:rsidRPr="0086307C" w:rsidRDefault="00564D10" w:rsidP="003807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02839" w:rsidRPr="00A828D6" w:rsidRDefault="00602839" w:rsidP="00380794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307C">
        <w:rPr>
          <w:rFonts w:ascii="Times New Roman" w:hAnsi="Times New Roman" w:cs="Times New Roman"/>
          <w:sz w:val="24"/>
          <w:szCs w:val="24"/>
        </w:rPr>
        <w:t xml:space="preserve">Il </w:t>
      </w:r>
      <w:r w:rsidRPr="0086307C">
        <w:rPr>
          <w:rFonts w:ascii="Times New Roman" w:hAnsi="Times New Roman" w:cs="Times New Roman"/>
          <w:i/>
          <w:sz w:val="24"/>
          <w:szCs w:val="24"/>
        </w:rPr>
        <w:t>tasso di lesività per incidente stradale</w:t>
      </w:r>
      <w:r w:rsidRPr="0086307C">
        <w:rPr>
          <w:rFonts w:ascii="Times New Roman" w:hAnsi="Times New Roman" w:cs="Times New Roman"/>
          <w:sz w:val="24"/>
          <w:szCs w:val="24"/>
        </w:rPr>
        <w:t xml:space="preserve"> è stato costruito come il rapporto tra il numero di </w:t>
      </w:r>
      <w:r w:rsidRPr="00A828D6">
        <w:rPr>
          <w:rFonts w:ascii="Times New Roman" w:hAnsi="Times New Roman" w:cs="Times New Roman"/>
          <w:spacing w:val="-4"/>
          <w:sz w:val="24"/>
          <w:szCs w:val="24"/>
        </w:rPr>
        <w:t>feriti in incidente stradale e la popolazione media residente nell’anno in considerazione per 100 mila.</w:t>
      </w:r>
    </w:p>
    <w:p w:rsidR="00602839" w:rsidRDefault="00602839" w:rsidP="0038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307C">
        <w:rPr>
          <w:rFonts w:ascii="Times New Roman" w:hAnsi="Times New Roman" w:cs="Times New Roman"/>
          <w:sz w:val="24"/>
          <w:szCs w:val="24"/>
        </w:rPr>
        <w:t>In Italia nel 201</w:t>
      </w:r>
      <w:r w:rsidR="00B82F56">
        <w:rPr>
          <w:rFonts w:ascii="Times New Roman" w:hAnsi="Times New Roman" w:cs="Times New Roman"/>
          <w:sz w:val="24"/>
          <w:szCs w:val="24"/>
        </w:rPr>
        <w:t>5</w:t>
      </w:r>
      <w:r w:rsidRPr="0086307C">
        <w:rPr>
          <w:rFonts w:ascii="Times New Roman" w:hAnsi="Times New Roman" w:cs="Times New Roman"/>
          <w:sz w:val="24"/>
          <w:szCs w:val="24"/>
        </w:rPr>
        <w:t xml:space="preserve"> il tasso di lesività è di 4</w:t>
      </w:r>
      <w:r w:rsidR="00B82F56">
        <w:rPr>
          <w:rFonts w:ascii="Times New Roman" w:hAnsi="Times New Roman" w:cs="Times New Roman"/>
          <w:sz w:val="24"/>
          <w:szCs w:val="24"/>
        </w:rPr>
        <w:t>06</w:t>
      </w:r>
      <w:r w:rsidRPr="0086307C">
        <w:rPr>
          <w:rFonts w:ascii="Times New Roman" w:hAnsi="Times New Roman" w:cs="Times New Roman"/>
          <w:sz w:val="24"/>
          <w:szCs w:val="24"/>
        </w:rPr>
        <w:t xml:space="preserve"> feriti in incidente strada</w:t>
      </w:r>
      <w:r w:rsidR="00592125">
        <w:rPr>
          <w:rFonts w:ascii="Times New Roman" w:hAnsi="Times New Roman" w:cs="Times New Roman"/>
          <w:sz w:val="24"/>
          <w:szCs w:val="24"/>
        </w:rPr>
        <w:t xml:space="preserve">le ogni 100 mila abitanti </w:t>
      </w:r>
      <w:r w:rsidR="00837FA1">
        <w:rPr>
          <w:rFonts w:ascii="Times New Roman" w:hAnsi="Times New Roman" w:cs="Times New Roman"/>
          <w:sz w:val="24"/>
          <w:szCs w:val="24"/>
        </w:rPr>
        <w:t>(</w:t>
      </w:r>
      <w:r w:rsidR="00204B48">
        <w:rPr>
          <w:rFonts w:ascii="Times New Roman" w:hAnsi="Times New Roman" w:cs="Times New Roman"/>
          <w:sz w:val="24"/>
          <w:szCs w:val="24"/>
        </w:rPr>
        <w:t>Tab.</w:t>
      </w:r>
      <w:r w:rsidR="00B25BBF" w:rsidRPr="00D50046">
        <w:rPr>
          <w:rFonts w:ascii="Times New Roman" w:hAnsi="Times New Roman" w:cs="Times New Roman"/>
          <w:sz w:val="24"/>
          <w:szCs w:val="24"/>
        </w:rPr>
        <w:t>4</w:t>
      </w:r>
      <w:r w:rsidRPr="0086307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16770" w:rsidRDefault="00CE1B04" w:rsidP="0038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Passando all’analisi territoriale, nel 201</w:t>
      </w:r>
      <w:r w:rsidR="00B82F56">
        <w:rPr>
          <w:rFonts w:ascii="Times New Roman" w:hAnsi="Times New Roman" w:cs="Times New Roman"/>
          <w:sz w:val="24"/>
          <w:szCs w:val="24"/>
        </w:rPr>
        <w:t>5</w:t>
      </w:r>
      <w:r w:rsidR="006D68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si registrano tassi di lesività </w:t>
      </w:r>
      <w:r w:rsidR="006D6849">
        <w:rPr>
          <w:rFonts w:ascii="Times New Roman" w:hAnsi="Times New Roman" w:cs="Times New Roman"/>
          <w:sz w:val="24"/>
          <w:szCs w:val="24"/>
        </w:rPr>
        <w:t>più contenuti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B82F56" w:rsidRPr="00CE1B04">
        <w:rPr>
          <w:rFonts w:ascii="Times New Roman" w:hAnsi="Times New Roman" w:cs="Times New Roman"/>
          <w:sz w:val="24"/>
          <w:szCs w:val="24"/>
        </w:rPr>
        <w:t>Molise</w:t>
      </w:r>
      <w:r w:rsidR="00B82F56">
        <w:rPr>
          <w:rFonts w:ascii="Times New Roman" w:hAnsi="Times New Roman" w:cs="Times New Roman"/>
          <w:sz w:val="24"/>
          <w:szCs w:val="24"/>
        </w:rPr>
        <w:t xml:space="preserve"> (230,90), </w:t>
      </w:r>
      <w:r w:rsidR="00B82F56" w:rsidRPr="00CE1B04">
        <w:rPr>
          <w:rFonts w:ascii="Times New Roman" w:hAnsi="Times New Roman" w:cs="Times New Roman"/>
          <w:sz w:val="24"/>
          <w:szCs w:val="24"/>
        </w:rPr>
        <w:t>Campania</w:t>
      </w:r>
      <w:r w:rsidR="00B82F56">
        <w:rPr>
          <w:rFonts w:ascii="Times New Roman" w:hAnsi="Times New Roman" w:cs="Times New Roman"/>
          <w:sz w:val="24"/>
          <w:szCs w:val="24"/>
        </w:rPr>
        <w:t xml:space="preserve"> (234,88) e </w:t>
      </w:r>
      <w:r w:rsidRPr="00CE1B04">
        <w:rPr>
          <w:rFonts w:ascii="Times New Roman" w:hAnsi="Times New Roman" w:cs="Times New Roman"/>
          <w:sz w:val="24"/>
          <w:szCs w:val="24"/>
        </w:rPr>
        <w:t>Calabria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E1B04">
        <w:rPr>
          <w:rFonts w:ascii="Times New Roman" w:hAnsi="Times New Roman" w:cs="Times New Roman"/>
          <w:sz w:val="24"/>
          <w:szCs w:val="24"/>
        </w:rPr>
        <w:t>2</w:t>
      </w:r>
      <w:r w:rsidR="00B82F56">
        <w:rPr>
          <w:rFonts w:ascii="Times New Roman" w:hAnsi="Times New Roman" w:cs="Times New Roman"/>
          <w:sz w:val="24"/>
          <w:szCs w:val="24"/>
        </w:rPr>
        <w:t>38,15</w:t>
      </w:r>
      <w:r>
        <w:rPr>
          <w:rFonts w:ascii="Times New Roman" w:hAnsi="Times New Roman" w:cs="Times New Roman"/>
          <w:sz w:val="24"/>
          <w:szCs w:val="24"/>
        </w:rPr>
        <w:t xml:space="preserve">) di contro si ha una lesività elevata </w:t>
      </w:r>
      <w:r w:rsidR="00B82F56">
        <w:rPr>
          <w:rFonts w:ascii="Times New Roman" w:hAnsi="Times New Roman" w:cs="Times New Roman"/>
          <w:sz w:val="24"/>
          <w:szCs w:val="24"/>
        </w:rPr>
        <w:t>in Liguria (674,19), Toscana (559,07) e Emilia Romagna (534,64).</w:t>
      </w:r>
    </w:p>
    <w:p w:rsidR="00602839" w:rsidRDefault="00602839" w:rsidP="0038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307C">
        <w:rPr>
          <w:rFonts w:ascii="Times New Roman" w:hAnsi="Times New Roman" w:cs="Times New Roman"/>
          <w:sz w:val="24"/>
          <w:szCs w:val="24"/>
        </w:rPr>
        <w:t xml:space="preserve">Anche in questo caso, l’evoluzione temporale </w:t>
      </w:r>
      <w:r w:rsidR="00D2130B">
        <w:rPr>
          <w:rFonts w:ascii="Times New Roman" w:hAnsi="Times New Roman" w:cs="Times New Roman"/>
          <w:sz w:val="24"/>
          <w:szCs w:val="24"/>
        </w:rPr>
        <w:t xml:space="preserve">indica </w:t>
      </w:r>
      <w:r w:rsidR="00376DCD">
        <w:rPr>
          <w:rFonts w:ascii="Times New Roman" w:hAnsi="Times New Roman" w:cs="Times New Roman"/>
          <w:sz w:val="24"/>
          <w:szCs w:val="24"/>
        </w:rPr>
        <w:t>un</w:t>
      </w:r>
      <w:r w:rsidRPr="0086307C">
        <w:rPr>
          <w:rFonts w:ascii="Times New Roman" w:hAnsi="Times New Roman" w:cs="Times New Roman"/>
          <w:sz w:val="24"/>
          <w:szCs w:val="24"/>
        </w:rPr>
        <w:t xml:space="preserve"> </w:t>
      </w:r>
      <w:r w:rsidR="00376DCD" w:rsidRPr="0086307C">
        <w:rPr>
          <w:rFonts w:ascii="Times New Roman" w:hAnsi="Times New Roman" w:cs="Times New Roman"/>
          <w:sz w:val="24"/>
          <w:szCs w:val="24"/>
        </w:rPr>
        <w:t>decremento</w:t>
      </w:r>
      <w:r w:rsidRPr="0086307C">
        <w:rPr>
          <w:rFonts w:ascii="Times New Roman" w:hAnsi="Times New Roman" w:cs="Times New Roman"/>
          <w:sz w:val="24"/>
          <w:szCs w:val="24"/>
        </w:rPr>
        <w:t xml:space="preserve"> del tasso: dal 201</w:t>
      </w:r>
      <w:r w:rsidR="00E80EA6">
        <w:rPr>
          <w:rFonts w:ascii="Times New Roman" w:hAnsi="Times New Roman" w:cs="Times New Roman"/>
          <w:sz w:val="24"/>
          <w:szCs w:val="24"/>
        </w:rPr>
        <w:t>0</w:t>
      </w:r>
      <w:r w:rsidRPr="0086307C">
        <w:rPr>
          <w:rFonts w:ascii="Times New Roman" w:hAnsi="Times New Roman" w:cs="Times New Roman"/>
          <w:sz w:val="24"/>
          <w:szCs w:val="24"/>
        </w:rPr>
        <w:t xml:space="preserve"> al 201</w:t>
      </w:r>
      <w:r w:rsidR="00297BE6">
        <w:rPr>
          <w:rFonts w:ascii="Times New Roman" w:hAnsi="Times New Roman" w:cs="Times New Roman"/>
          <w:sz w:val="24"/>
          <w:szCs w:val="24"/>
        </w:rPr>
        <w:t>5</w:t>
      </w:r>
      <w:r w:rsidRPr="0086307C">
        <w:rPr>
          <w:rFonts w:ascii="Times New Roman" w:hAnsi="Times New Roman" w:cs="Times New Roman"/>
          <w:sz w:val="24"/>
          <w:szCs w:val="24"/>
        </w:rPr>
        <w:t xml:space="preserve"> il tasso di lesività è diminuito del </w:t>
      </w:r>
      <w:r w:rsidR="00E80EA6">
        <w:rPr>
          <w:rFonts w:ascii="Times New Roman" w:hAnsi="Times New Roman" w:cs="Times New Roman"/>
          <w:sz w:val="24"/>
          <w:szCs w:val="24"/>
        </w:rPr>
        <w:t>2</w:t>
      </w:r>
      <w:r w:rsidR="00C57683">
        <w:rPr>
          <w:rFonts w:ascii="Times New Roman" w:hAnsi="Times New Roman" w:cs="Times New Roman"/>
          <w:sz w:val="24"/>
          <w:szCs w:val="24"/>
        </w:rPr>
        <w:t>1</w:t>
      </w:r>
      <w:r w:rsidRPr="0086307C">
        <w:rPr>
          <w:rFonts w:ascii="Times New Roman" w:hAnsi="Times New Roman" w:cs="Times New Roman"/>
          <w:sz w:val="24"/>
          <w:szCs w:val="24"/>
        </w:rPr>
        <w:t xml:space="preserve"> per cento</w:t>
      </w:r>
      <w:r w:rsidR="00285EAB">
        <w:rPr>
          <w:rFonts w:ascii="Times New Roman" w:hAnsi="Times New Roman" w:cs="Times New Roman"/>
          <w:sz w:val="24"/>
          <w:szCs w:val="24"/>
        </w:rPr>
        <w:t xml:space="preserve"> circa</w:t>
      </w:r>
      <w:r w:rsidRPr="008630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2839" w:rsidRPr="0086307C" w:rsidRDefault="00602839" w:rsidP="0038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307C">
        <w:rPr>
          <w:rFonts w:ascii="Times New Roman" w:hAnsi="Times New Roman" w:cs="Times New Roman"/>
          <w:sz w:val="24"/>
          <w:szCs w:val="24"/>
        </w:rPr>
        <w:t>La lesività</w:t>
      </w:r>
      <w:r w:rsidR="00DC77A1">
        <w:rPr>
          <w:rFonts w:ascii="Times New Roman" w:hAnsi="Times New Roman" w:cs="Times New Roman"/>
          <w:sz w:val="24"/>
          <w:szCs w:val="24"/>
        </w:rPr>
        <w:t xml:space="preserve"> nel periodo 2001-2015</w:t>
      </w:r>
      <w:r w:rsidRPr="0086307C">
        <w:rPr>
          <w:rFonts w:ascii="Times New Roman" w:hAnsi="Times New Roman" w:cs="Times New Roman"/>
          <w:sz w:val="24"/>
          <w:szCs w:val="24"/>
        </w:rPr>
        <w:t xml:space="preserve"> ha avuto una contrazione maggiore </w:t>
      </w:r>
      <w:r w:rsidR="00DC77A1">
        <w:rPr>
          <w:rFonts w:ascii="Times New Roman" w:hAnsi="Times New Roman" w:cs="Times New Roman"/>
          <w:sz w:val="24"/>
          <w:szCs w:val="24"/>
        </w:rPr>
        <w:t xml:space="preserve">in Molise (-53,24), Umbria (-49,32%) e Lombardia (-46,28). La riduzione è stata contenuta </w:t>
      </w:r>
      <w:r w:rsidR="00AD2565">
        <w:rPr>
          <w:rFonts w:ascii="Times New Roman" w:hAnsi="Times New Roman" w:cs="Times New Roman"/>
          <w:sz w:val="24"/>
          <w:szCs w:val="24"/>
        </w:rPr>
        <w:t>in</w:t>
      </w:r>
      <w:r w:rsidR="00DC77A1">
        <w:rPr>
          <w:rFonts w:ascii="Times New Roman" w:hAnsi="Times New Roman" w:cs="Times New Roman"/>
          <w:sz w:val="24"/>
          <w:szCs w:val="24"/>
        </w:rPr>
        <w:t xml:space="preserve"> Puglia (-13,47), Campania (-16,48) e Liguria (-23,51). In Basilicata si </w:t>
      </w:r>
      <w:r w:rsidR="00D2130B">
        <w:rPr>
          <w:rFonts w:ascii="Times New Roman" w:hAnsi="Times New Roman" w:cs="Times New Roman"/>
          <w:sz w:val="24"/>
          <w:szCs w:val="24"/>
        </w:rPr>
        <w:t>registra un aumento del tasso di</w:t>
      </w:r>
      <w:r w:rsidR="00D80A73">
        <w:rPr>
          <w:rFonts w:ascii="Times New Roman" w:hAnsi="Times New Roman" w:cs="Times New Roman"/>
          <w:sz w:val="24"/>
          <w:szCs w:val="24"/>
        </w:rPr>
        <w:t xml:space="preserve"> lesività del </w:t>
      </w:r>
      <w:r w:rsidR="00DC77A1">
        <w:rPr>
          <w:rFonts w:ascii="Times New Roman" w:hAnsi="Times New Roman" w:cs="Times New Roman"/>
          <w:sz w:val="24"/>
          <w:szCs w:val="24"/>
        </w:rPr>
        <w:t xml:space="preserve">13,33%. </w:t>
      </w:r>
    </w:p>
    <w:p w:rsidR="00D50046" w:rsidRDefault="00D500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F2A43" w:rsidRDefault="006D3654" w:rsidP="003807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</w:t>
      </w:r>
      <w:r w:rsidR="004F41F7">
        <w:rPr>
          <w:rFonts w:ascii="Times New Roman" w:hAnsi="Times New Roman" w:cs="Times New Roman"/>
          <w:b/>
          <w:sz w:val="24"/>
          <w:szCs w:val="24"/>
        </w:rPr>
        <w:t>ab.</w:t>
      </w:r>
      <w:r w:rsidR="004345B4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4F41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5B4">
        <w:rPr>
          <w:rFonts w:ascii="Times New Roman" w:hAnsi="Times New Roman" w:cs="Times New Roman"/>
          <w:b/>
          <w:sz w:val="24"/>
          <w:szCs w:val="24"/>
        </w:rPr>
        <w:t>-</w:t>
      </w:r>
      <w:r w:rsidR="006F2A43" w:rsidRPr="00433146">
        <w:rPr>
          <w:rFonts w:ascii="Times New Roman" w:hAnsi="Times New Roman" w:cs="Times New Roman"/>
          <w:b/>
          <w:sz w:val="24"/>
          <w:szCs w:val="24"/>
        </w:rPr>
        <w:t xml:space="preserve"> Tasso di lesiv</w:t>
      </w:r>
      <w:r w:rsidR="00793964">
        <w:rPr>
          <w:rFonts w:ascii="Times New Roman" w:hAnsi="Times New Roman" w:cs="Times New Roman"/>
          <w:b/>
          <w:sz w:val="24"/>
          <w:szCs w:val="24"/>
        </w:rPr>
        <w:t xml:space="preserve">ità per incidente stradale per </w:t>
      </w:r>
      <w:r w:rsidR="00374B5C">
        <w:rPr>
          <w:rFonts w:ascii="Times New Roman" w:hAnsi="Times New Roman" w:cs="Times New Roman"/>
          <w:b/>
          <w:sz w:val="24"/>
          <w:szCs w:val="24"/>
        </w:rPr>
        <w:t>R</w:t>
      </w:r>
      <w:r w:rsidR="006F2A43" w:rsidRPr="00433146">
        <w:rPr>
          <w:rFonts w:ascii="Times New Roman" w:hAnsi="Times New Roman" w:cs="Times New Roman"/>
          <w:b/>
          <w:sz w:val="24"/>
          <w:szCs w:val="24"/>
        </w:rPr>
        <w:t>egione</w:t>
      </w:r>
      <w:r w:rsidR="00793964">
        <w:rPr>
          <w:rFonts w:ascii="Times New Roman" w:hAnsi="Times New Roman" w:cs="Times New Roman"/>
          <w:b/>
          <w:sz w:val="24"/>
          <w:szCs w:val="24"/>
        </w:rPr>
        <w:t xml:space="preserve"> di evento</w:t>
      </w:r>
      <w:r w:rsidR="006F2A43" w:rsidRPr="00433146">
        <w:rPr>
          <w:rFonts w:ascii="Times New Roman" w:hAnsi="Times New Roman" w:cs="Times New Roman"/>
          <w:b/>
          <w:sz w:val="24"/>
          <w:szCs w:val="24"/>
        </w:rPr>
        <w:t xml:space="preserve"> - Anni 2001</w:t>
      </w:r>
      <w:r w:rsidR="00A25FDA">
        <w:rPr>
          <w:rFonts w:ascii="Times New Roman" w:hAnsi="Times New Roman" w:cs="Times New Roman"/>
          <w:b/>
          <w:sz w:val="24"/>
          <w:szCs w:val="24"/>
        </w:rPr>
        <w:t>, 2010-2015</w:t>
      </w:r>
    </w:p>
    <w:tbl>
      <w:tblPr>
        <w:tblW w:w="8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900"/>
        <w:gridCol w:w="880"/>
        <w:gridCol w:w="920"/>
        <w:gridCol w:w="900"/>
        <w:gridCol w:w="880"/>
        <w:gridCol w:w="1080"/>
        <w:gridCol w:w="960"/>
      </w:tblGrid>
      <w:tr w:rsidR="003A367E" w:rsidRPr="003A367E" w:rsidTr="003A367E">
        <w:trPr>
          <w:trHeight w:val="225"/>
        </w:trPr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2015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Piemonte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594,64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457,58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443,29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402,83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371,68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371,57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368,75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Valle d'Aosta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517,55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392,98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314,15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315,96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349,41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319,98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319,22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Liguria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881,42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784,62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750,29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718,92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701,60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670,00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674,19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841,03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558,59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525,06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503,50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475,13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458,10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451,78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Trentino Alto Adige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614,72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350,54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382,20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416,91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399,64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376,02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380,89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Bolzano/Bozen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614,73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296,96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363,03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450,74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425,42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400,88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401,38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>Trento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614,71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402,00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400,63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384,39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374,86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it-IT"/>
              </w:rPr>
              <w:t xml:space="preserve">         352,07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361,09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Veneto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675,67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451,01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443,39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410,75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387,03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396,01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389,24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Friuli Venezia Giulia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683,94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420,65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385,22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383,58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374,51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356,93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386,14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Emilia Romagna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962,29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648,32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645,46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571,32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564,72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537,38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534,64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Toscana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853,02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690,23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678,12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625,87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582,08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587,78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559,07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Umbria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733,16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461,85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461,63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385,66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386,66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367,96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371,57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Marche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821,69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640,71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614,08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518,63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513,90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506,84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491,57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Lazio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866,44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712,74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683,12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597,45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538,72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486,19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477,33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Abruzzo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661,10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487,72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476,03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421,85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412,93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389,79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363,19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Molise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493,82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335,30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321,28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305,19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254,75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249,02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230,90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Campania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281,22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295,90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265,28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256,66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238,05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238,33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234,88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Puglia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442,78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516,58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500,09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409,07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421,25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389,20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383,14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Basilicata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239,62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347,26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307,71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283,25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255,85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264,41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271,58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Calabria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364,47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287,34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260,94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239,85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239,72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223,80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238,15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Sicilia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462,42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439,94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402,36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354,37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351,19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337,04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319,17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Sardegna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454,00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382,45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353,59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321,09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334,48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319,25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317,03 </w:t>
            </w:r>
          </w:p>
        </w:tc>
      </w:tr>
      <w:tr w:rsidR="003A367E" w:rsidRPr="003A367E" w:rsidTr="003A367E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Italia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655,15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514,06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491,78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448,21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428,48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413,14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67E" w:rsidRPr="003A367E" w:rsidRDefault="003A367E" w:rsidP="003A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3A36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406,58 </w:t>
            </w:r>
          </w:p>
        </w:tc>
      </w:tr>
    </w:tbl>
    <w:p w:rsidR="00696E4D" w:rsidRDefault="00696E4D" w:rsidP="0038079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9474C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A548A2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2A5F6B" w:rsidRPr="00A548A2" w:rsidRDefault="002A5F6B" w:rsidP="0038079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70C77" w:rsidRDefault="00DE2477" w:rsidP="0038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32E4">
        <w:rPr>
          <w:rFonts w:ascii="Times New Roman" w:hAnsi="Times New Roman" w:cs="Times New Roman"/>
          <w:sz w:val="24"/>
          <w:szCs w:val="24"/>
        </w:rPr>
        <w:t xml:space="preserve">Per quanto concerne le categorie di </w:t>
      </w:r>
      <w:r w:rsidRPr="008632E4">
        <w:rPr>
          <w:rFonts w:ascii="Times New Roman" w:hAnsi="Times New Roman" w:cs="Times New Roman"/>
          <w:i/>
          <w:sz w:val="24"/>
          <w:szCs w:val="24"/>
        </w:rPr>
        <w:t>utenti più vulnerabili</w:t>
      </w:r>
      <w:r w:rsidR="0056021E">
        <w:rPr>
          <w:rFonts w:ascii="Times New Roman" w:hAnsi="Times New Roman" w:cs="Times New Roman"/>
          <w:sz w:val="24"/>
          <w:szCs w:val="24"/>
        </w:rPr>
        <w:t xml:space="preserve">, </w:t>
      </w:r>
      <w:r w:rsidR="00A70C77">
        <w:rPr>
          <w:rFonts w:ascii="Times New Roman" w:hAnsi="Times New Roman" w:cs="Times New Roman"/>
          <w:sz w:val="24"/>
          <w:szCs w:val="24"/>
        </w:rPr>
        <w:t xml:space="preserve">come ribadito in precedenza, </w:t>
      </w:r>
      <w:r w:rsidR="0056021E">
        <w:rPr>
          <w:rFonts w:ascii="Times New Roman" w:hAnsi="Times New Roman" w:cs="Times New Roman"/>
          <w:sz w:val="24"/>
          <w:szCs w:val="24"/>
        </w:rPr>
        <w:t xml:space="preserve">nel 2015 emerge </w:t>
      </w:r>
      <w:r w:rsidR="00A70C77">
        <w:rPr>
          <w:rFonts w:ascii="Times New Roman" w:hAnsi="Times New Roman" w:cs="Times New Roman"/>
          <w:sz w:val="24"/>
          <w:szCs w:val="24"/>
        </w:rPr>
        <w:t>soprattutto l’</w:t>
      </w:r>
      <w:r w:rsidR="0056021E">
        <w:rPr>
          <w:rFonts w:ascii="Times New Roman" w:hAnsi="Times New Roman" w:cs="Times New Roman"/>
          <w:sz w:val="24"/>
          <w:szCs w:val="24"/>
        </w:rPr>
        <w:t xml:space="preserve">aumento delle vittime </w:t>
      </w:r>
      <w:r w:rsidR="00A70C77">
        <w:rPr>
          <w:rFonts w:ascii="Times New Roman" w:hAnsi="Times New Roman" w:cs="Times New Roman"/>
          <w:sz w:val="24"/>
          <w:szCs w:val="24"/>
        </w:rPr>
        <w:t>tra centauri e pedoni, anche i ciclisti, benché  facciano registrare segnali di miglioramento, restano pur sempre una cate</w:t>
      </w:r>
      <w:r w:rsidR="00CD7538">
        <w:rPr>
          <w:rFonts w:ascii="Times New Roman" w:hAnsi="Times New Roman" w:cs="Times New Roman"/>
          <w:sz w:val="24"/>
          <w:szCs w:val="24"/>
        </w:rPr>
        <w:t>goria particolarmente a rischio</w:t>
      </w:r>
      <w:r w:rsidR="00033D1A">
        <w:rPr>
          <w:rFonts w:ascii="Times New Roman" w:hAnsi="Times New Roman" w:cs="Times New Roman"/>
          <w:sz w:val="24"/>
          <w:szCs w:val="24"/>
        </w:rPr>
        <w:t xml:space="preserve"> e con un andamento oscillante nel tempo</w:t>
      </w:r>
      <w:r w:rsidR="00CD7538">
        <w:rPr>
          <w:rFonts w:ascii="Times New Roman" w:hAnsi="Times New Roman" w:cs="Times New Roman"/>
          <w:sz w:val="24"/>
          <w:szCs w:val="24"/>
        </w:rPr>
        <w:t>, risulta quindi interessante</w:t>
      </w:r>
      <w:r w:rsidR="00033D1A">
        <w:rPr>
          <w:rFonts w:ascii="Times New Roman" w:hAnsi="Times New Roman" w:cs="Times New Roman"/>
          <w:sz w:val="24"/>
          <w:szCs w:val="24"/>
        </w:rPr>
        <w:t>, anche per questa tipologia di utente</w:t>
      </w:r>
      <w:r w:rsidR="00A70C77" w:rsidRPr="008632E4">
        <w:rPr>
          <w:rFonts w:ascii="Times New Roman" w:hAnsi="Times New Roman" w:cs="Times New Roman"/>
          <w:sz w:val="24"/>
          <w:szCs w:val="24"/>
        </w:rPr>
        <w:t xml:space="preserve"> fornire alcuni indicatori </w:t>
      </w:r>
      <w:r w:rsidR="00CD7538">
        <w:rPr>
          <w:rFonts w:ascii="Times New Roman" w:hAnsi="Times New Roman" w:cs="Times New Roman"/>
          <w:sz w:val="24"/>
          <w:szCs w:val="24"/>
        </w:rPr>
        <w:t xml:space="preserve">specifici e dati con </w:t>
      </w:r>
      <w:r w:rsidR="00A70C77" w:rsidRPr="008632E4">
        <w:rPr>
          <w:rFonts w:ascii="Times New Roman" w:hAnsi="Times New Roman" w:cs="Times New Roman"/>
          <w:sz w:val="24"/>
          <w:szCs w:val="24"/>
        </w:rPr>
        <w:t>serie temporali e territoriali.</w:t>
      </w:r>
    </w:p>
    <w:p w:rsidR="004345B4" w:rsidRDefault="004345B4" w:rsidP="0038079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4D701B" w:rsidRDefault="004D701B" w:rsidP="00A44C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BA3">
        <w:rPr>
          <w:rFonts w:ascii="Times New Roman" w:hAnsi="Times New Roman" w:cs="Times New Roman"/>
          <w:sz w:val="24"/>
          <w:szCs w:val="24"/>
        </w:rPr>
        <w:t>Nel 201</w:t>
      </w:r>
      <w:r w:rsidR="00704BA3">
        <w:rPr>
          <w:rFonts w:ascii="Times New Roman" w:hAnsi="Times New Roman" w:cs="Times New Roman"/>
          <w:sz w:val="24"/>
          <w:szCs w:val="24"/>
        </w:rPr>
        <w:t>5</w:t>
      </w:r>
      <w:r w:rsidRPr="00704BA3">
        <w:rPr>
          <w:rFonts w:ascii="Times New Roman" w:hAnsi="Times New Roman" w:cs="Times New Roman"/>
          <w:sz w:val="24"/>
          <w:szCs w:val="24"/>
        </w:rPr>
        <w:t>, ammontano a 8</w:t>
      </w:r>
      <w:r w:rsidR="00704BA3" w:rsidRPr="00704BA3">
        <w:rPr>
          <w:rFonts w:ascii="Times New Roman" w:hAnsi="Times New Roman" w:cs="Times New Roman"/>
          <w:sz w:val="24"/>
          <w:szCs w:val="24"/>
        </w:rPr>
        <w:t>78</w:t>
      </w:r>
      <w:r w:rsidRPr="00704BA3">
        <w:rPr>
          <w:rFonts w:ascii="Times New Roman" w:hAnsi="Times New Roman" w:cs="Times New Roman"/>
          <w:sz w:val="24"/>
          <w:szCs w:val="24"/>
        </w:rPr>
        <w:t xml:space="preserve"> gli </w:t>
      </w:r>
      <w:r w:rsidRPr="00CF420E">
        <w:rPr>
          <w:rFonts w:ascii="Times New Roman" w:hAnsi="Times New Roman" w:cs="Times New Roman"/>
          <w:b/>
          <w:i/>
          <w:sz w:val="24"/>
          <w:szCs w:val="24"/>
        </w:rPr>
        <w:t>utenti delle due ruote a motore</w:t>
      </w:r>
      <w:r w:rsidRPr="00704BA3">
        <w:rPr>
          <w:rFonts w:ascii="Times New Roman" w:hAnsi="Times New Roman" w:cs="Times New Roman"/>
          <w:sz w:val="24"/>
          <w:szCs w:val="24"/>
        </w:rPr>
        <w:t xml:space="preserve"> vittime di incidenti stradali (7</w:t>
      </w:r>
      <w:r w:rsidR="00704BA3" w:rsidRPr="00704BA3">
        <w:rPr>
          <w:rFonts w:ascii="Times New Roman" w:hAnsi="Times New Roman" w:cs="Times New Roman"/>
          <w:sz w:val="24"/>
          <w:szCs w:val="24"/>
        </w:rPr>
        <w:t>73</w:t>
      </w:r>
      <w:r w:rsidRPr="00704BA3">
        <w:rPr>
          <w:rFonts w:ascii="Times New Roman" w:hAnsi="Times New Roman" w:cs="Times New Roman"/>
          <w:sz w:val="24"/>
          <w:szCs w:val="24"/>
        </w:rPr>
        <w:t xml:space="preserve"> motociclisti e 1</w:t>
      </w:r>
      <w:r w:rsidR="00704BA3" w:rsidRPr="00704BA3">
        <w:rPr>
          <w:rFonts w:ascii="Times New Roman" w:hAnsi="Times New Roman" w:cs="Times New Roman"/>
          <w:sz w:val="24"/>
          <w:szCs w:val="24"/>
        </w:rPr>
        <w:t>05</w:t>
      </w:r>
      <w:r w:rsidRPr="00704BA3">
        <w:rPr>
          <w:rFonts w:ascii="Times New Roman" w:hAnsi="Times New Roman" w:cs="Times New Roman"/>
          <w:sz w:val="24"/>
          <w:szCs w:val="24"/>
        </w:rPr>
        <w:t xml:space="preserve"> ciclomotoristi), mentre i feriti sono stati 55.</w:t>
      </w:r>
      <w:r w:rsidR="00704BA3">
        <w:rPr>
          <w:rFonts w:ascii="Times New Roman" w:hAnsi="Times New Roman" w:cs="Times New Roman"/>
          <w:sz w:val="24"/>
          <w:szCs w:val="24"/>
        </w:rPr>
        <w:t>690 (rispettivamente 43.078 e 12.612)</w:t>
      </w:r>
      <w:r w:rsidRPr="00704BA3">
        <w:rPr>
          <w:rFonts w:ascii="Times New Roman" w:hAnsi="Times New Roman" w:cs="Times New Roman"/>
          <w:sz w:val="24"/>
          <w:szCs w:val="24"/>
        </w:rPr>
        <w:t xml:space="preserve">. </w:t>
      </w:r>
      <w:r w:rsidR="00704BA3" w:rsidRPr="00704BA3">
        <w:rPr>
          <w:rFonts w:ascii="Times New Roman" w:hAnsi="Times New Roman" w:cs="Times New Roman"/>
          <w:sz w:val="24"/>
          <w:szCs w:val="24"/>
        </w:rPr>
        <w:t>Q</w:t>
      </w:r>
      <w:r w:rsidRPr="00704BA3">
        <w:rPr>
          <w:rFonts w:ascii="Times New Roman" w:hAnsi="Times New Roman" w:cs="Times New Roman"/>
          <w:sz w:val="24"/>
          <w:szCs w:val="24"/>
        </w:rPr>
        <w:t>uesta categoria si posiziona al secondo posto in graduatoria</w:t>
      </w:r>
      <w:r w:rsidR="0066437E">
        <w:rPr>
          <w:rFonts w:ascii="Times New Roman" w:hAnsi="Times New Roman" w:cs="Times New Roman"/>
          <w:sz w:val="24"/>
          <w:szCs w:val="24"/>
        </w:rPr>
        <w:t>,</w:t>
      </w:r>
      <w:r w:rsidRPr="00704BA3">
        <w:rPr>
          <w:rFonts w:ascii="Times New Roman" w:hAnsi="Times New Roman" w:cs="Times New Roman"/>
          <w:sz w:val="24"/>
          <w:szCs w:val="24"/>
        </w:rPr>
        <w:t xml:space="preserve"> per rischio di mortalità e lesività</w:t>
      </w:r>
      <w:r w:rsidR="0066437E">
        <w:rPr>
          <w:rFonts w:ascii="Times New Roman" w:hAnsi="Times New Roman" w:cs="Times New Roman"/>
          <w:sz w:val="24"/>
          <w:szCs w:val="24"/>
        </w:rPr>
        <w:t xml:space="preserve">, </w:t>
      </w:r>
      <w:r w:rsidRPr="00704BA3">
        <w:rPr>
          <w:rFonts w:ascii="Times New Roman" w:hAnsi="Times New Roman" w:cs="Times New Roman"/>
          <w:sz w:val="24"/>
          <w:szCs w:val="24"/>
        </w:rPr>
        <w:t>dietro le autovetture</w:t>
      </w:r>
      <w:r w:rsidR="0066437E">
        <w:rPr>
          <w:rFonts w:ascii="Times New Roman" w:hAnsi="Times New Roman" w:cs="Times New Roman"/>
          <w:sz w:val="24"/>
          <w:szCs w:val="24"/>
        </w:rPr>
        <w:t>.</w:t>
      </w:r>
      <w:r w:rsidRPr="00704BA3">
        <w:rPr>
          <w:rFonts w:ascii="Times New Roman" w:hAnsi="Times New Roman" w:cs="Times New Roman"/>
          <w:sz w:val="24"/>
          <w:szCs w:val="24"/>
        </w:rPr>
        <w:t xml:space="preserve"> </w:t>
      </w:r>
      <w:r w:rsidR="0066437E">
        <w:rPr>
          <w:rFonts w:ascii="Times New Roman" w:hAnsi="Times New Roman" w:cs="Times New Roman"/>
          <w:sz w:val="24"/>
          <w:szCs w:val="24"/>
        </w:rPr>
        <w:t>I</w:t>
      </w:r>
      <w:r w:rsidRPr="00704BA3">
        <w:rPr>
          <w:rFonts w:ascii="Times New Roman" w:hAnsi="Times New Roman" w:cs="Times New Roman"/>
          <w:sz w:val="24"/>
          <w:szCs w:val="24"/>
        </w:rPr>
        <w:t xml:space="preserve">l trend </w:t>
      </w:r>
      <w:r w:rsidR="00704BA3">
        <w:rPr>
          <w:rFonts w:ascii="Times New Roman" w:hAnsi="Times New Roman" w:cs="Times New Roman"/>
          <w:sz w:val="24"/>
          <w:szCs w:val="24"/>
        </w:rPr>
        <w:t>i</w:t>
      </w:r>
      <w:r w:rsidRPr="00704BA3">
        <w:rPr>
          <w:rFonts w:ascii="Times New Roman" w:hAnsi="Times New Roman" w:cs="Times New Roman"/>
          <w:sz w:val="24"/>
          <w:szCs w:val="24"/>
        </w:rPr>
        <w:t>n graduale e costante diminuzione a partire dal 2005</w:t>
      </w:r>
      <w:r w:rsidR="00704BA3">
        <w:rPr>
          <w:rFonts w:ascii="Times New Roman" w:hAnsi="Times New Roman" w:cs="Times New Roman"/>
          <w:sz w:val="24"/>
          <w:szCs w:val="24"/>
        </w:rPr>
        <w:t>, fa registrare un nuovo aumento nel 2015</w:t>
      </w:r>
      <w:r w:rsidR="0066437E">
        <w:rPr>
          <w:rFonts w:ascii="Times New Roman" w:hAnsi="Times New Roman" w:cs="Times New Roman"/>
          <w:sz w:val="24"/>
          <w:szCs w:val="24"/>
        </w:rPr>
        <w:t>; a</w:t>
      </w:r>
      <w:r w:rsidR="00704BA3">
        <w:rPr>
          <w:rFonts w:ascii="Times New Roman" w:hAnsi="Times New Roman" w:cs="Times New Roman"/>
          <w:sz w:val="24"/>
          <w:szCs w:val="24"/>
        </w:rPr>
        <w:t>nche nel</w:t>
      </w:r>
      <w:r w:rsidRPr="00704BA3">
        <w:rPr>
          <w:rFonts w:ascii="Times New Roman" w:hAnsi="Times New Roman" w:cs="Times New Roman"/>
          <w:sz w:val="24"/>
          <w:szCs w:val="24"/>
        </w:rPr>
        <w:t xml:space="preserve"> confronto con il 2001 il miglioramento è più contenuto rispetto alla media generale nazionale: -</w:t>
      </w:r>
      <w:r w:rsidR="00704BA3">
        <w:rPr>
          <w:rFonts w:ascii="Times New Roman" w:hAnsi="Times New Roman" w:cs="Times New Roman"/>
          <w:sz w:val="24"/>
          <w:szCs w:val="24"/>
        </w:rPr>
        <w:t>38</w:t>
      </w:r>
      <w:r w:rsidRPr="00704BA3">
        <w:rPr>
          <w:rFonts w:ascii="Times New Roman" w:hAnsi="Times New Roman" w:cs="Times New Roman"/>
          <w:sz w:val="24"/>
          <w:szCs w:val="24"/>
        </w:rPr>
        <w:t>,</w:t>
      </w:r>
      <w:r w:rsidR="00704BA3">
        <w:rPr>
          <w:rFonts w:ascii="Times New Roman" w:hAnsi="Times New Roman" w:cs="Times New Roman"/>
          <w:sz w:val="24"/>
          <w:szCs w:val="24"/>
        </w:rPr>
        <w:t>4</w:t>
      </w:r>
      <w:r w:rsidRPr="00704BA3">
        <w:rPr>
          <w:rFonts w:ascii="Times New Roman" w:hAnsi="Times New Roman" w:cs="Times New Roman"/>
          <w:sz w:val="24"/>
          <w:szCs w:val="24"/>
        </w:rPr>
        <w:t>% per le due ruote contro -5</w:t>
      </w:r>
      <w:r w:rsidR="00704BA3">
        <w:rPr>
          <w:rFonts w:ascii="Times New Roman" w:hAnsi="Times New Roman" w:cs="Times New Roman"/>
          <w:sz w:val="24"/>
          <w:szCs w:val="24"/>
        </w:rPr>
        <w:t>1,7</w:t>
      </w:r>
      <w:r w:rsidRPr="00704BA3">
        <w:rPr>
          <w:rFonts w:ascii="Times New Roman" w:hAnsi="Times New Roman" w:cs="Times New Roman"/>
          <w:sz w:val="24"/>
          <w:szCs w:val="24"/>
        </w:rPr>
        <w:t xml:space="preserve">% per gli utenti nel complesso. </w:t>
      </w:r>
      <w:r w:rsidRPr="000E03E5">
        <w:rPr>
          <w:rFonts w:ascii="Times New Roman" w:hAnsi="Times New Roman" w:cs="Times New Roman"/>
          <w:sz w:val="24"/>
          <w:szCs w:val="24"/>
        </w:rPr>
        <w:t>Per entrambi i generi, il rischio è più alto tra i 15 e i 49 anni (circa il 7</w:t>
      </w:r>
      <w:r w:rsidR="000E03E5" w:rsidRPr="000E03E5">
        <w:rPr>
          <w:rFonts w:ascii="Times New Roman" w:hAnsi="Times New Roman" w:cs="Times New Roman"/>
          <w:sz w:val="24"/>
          <w:szCs w:val="24"/>
        </w:rPr>
        <w:t>5</w:t>
      </w:r>
      <w:r w:rsidRPr="000E03E5">
        <w:rPr>
          <w:rFonts w:ascii="Times New Roman" w:hAnsi="Times New Roman" w:cs="Times New Roman"/>
          <w:sz w:val="24"/>
          <w:szCs w:val="24"/>
        </w:rPr>
        <w:t>% del totale infortunati), ma sono i 20-2</w:t>
      </w:r>
      <w:r w:rsidR="000E03E5">
        <w:rPr>
          <w:rFonts w:ascii="Times New Roman" w:hAnsi="Times New Roman" w:cs="Times New Roman"/>
          <w:sz w:val="24"/>
          <w:szCs w:val="24"/>
        </w:rPr>
        <w:t>9</w:t>
      </w:r>
      <w:r w:rsidRPr="000E03E5">
        <w:rPr>
          <w:rFonts w:ascii="Times New Roman" w:hAnsi="Times New Roman" w:cs="Times New Roman"/>
          <w:sz w:val="24"/>
          <w:szCs w:val="24"/>
        </w:rPr>
        <w:t xml:space="preserve">enni e i </w:t>
      </w:r>
      <w:r w:rsidR="000E03E5">
        <w:rPr>
          <w:rFonts w:ascii="Times New Roman" w:hAnsi="Times New Roman" w:cs="Times New Roman"/>
          <w:sz w:val="24"/>
          <w:szCs w:val="24"/>
        </w:rPr>
        <w:t>40</w:t>
      </w:r>
      <w:r w:rsidRPr="000E03E5">
        <w:rPr>
          <w:rFonts w:ascii="Times New Roman" w:hAnsi="Times New Roman" w:cs="Times New Roman"/>
          <w:sz w:val="24"/>
          <w:szCs w:val="24"/>
        </w:rPr>
        <w:t>-4</w:t>
      </w:r>
      <w:r w:rsidR="000E03E5">
        <w:rPr>
          <w:rFonts w:ascii="Times New Roman" w:hAnsi="Times New Roman" w:cs="Times New Roman"/>
          <w:sz w:val="24"/>
          <w:szCs w:val="24"/>
        </w:rPr>
        <w:t>9</w:t>
      </w:r>
      <w:r w:rsidRPr="000E03E5">
        <w:rPr>
          <w:rFonts w:ascii="Times New Roman" w:hAnsi="Times New Roman" w:cs="Times New Roman"/>
          <w:sz w:val="24"/>
          <w:szCs w:val="24"/>
        </w:rPr>
        <w:t xml:space="preserve">enni quelli più coinvolti (rispettivamente </w:t>
      </w:r>
      <w:r w:rsidR="000E03E5">
        <w:rPr>
          <w:rFonts w:ascii="Times New Roman" w:hAnsi="Times New Roman" w:cs="Times New Roman"/>
          <w:sz w:val="24"/>
          <w:szCs w:val="24"/>
        </w:rPr>
        <w:t>172</w:t>
      </w:r>
      <w:r w:rsidRPr="000E03E5">
        <w:rPr>
          <w:rFonts w:ascii="Times New Roman" w:hAnsi="Times New Roman" w:cs="Times New Roman"/>
          <w:sz w:val="24"/>
          <w:szCs w:val="24"/>
        </w:rPr>
        <w:t xml:space="preserve"> e 1</w:t>
      </w:r>
      <w:r w:rsidR="000E03E5">
        <w:rPr>
          <w:rFonts w:ascii="Times New Roman" w:hAnsi="Times New Roman" w:cs="Times New Roman"/>
          <w:sz w:val="24"/>
          <w:szCs w:val="24"/>
        </w:rPr>
        <w:t>99</w:t>
      </w:r>
      <w:r w:rsidRPr="000E03E5">
        <w:rPr>
          <w:rFonts w:ascii="Times New Roman" w:hAnsi="Times New Roman" w:cs="Times New Roman"/>
          <w:sz w:val="24"/>
          <w:szCs w:val="24"/>
        </w:rPr>
        <w:t xml:space="preserve"> deceduti, </w:t>
      </w:r>
      <w:r w:rsidR="000E03E5">
        <w:rPr>
          <w:rFonts w:ascii="Times New Roman" w:hAnsi="Times New Roman" w:cs="Times New Roman"/>
          <w:sz w:val="24"/>
          <w:szCs w:val="24"/>
        </w:rPr>
        <w:t>11.796</w:t>
      </w:r>
      <w:r w:rsidRPr="000E03E5">
        <w:rPr>
          <w:rFonts w:ascii="Times New Roman" w:hAnsi="Times New Roman" w:cs="Times New Roman"/>
          <w:sz w:val="24"/>
          <w:szCs w:val="24"/>
        </w:rPr>
        <w:t xml:space="preserve"> e 1</w:t>
      </w:r>
      <w:r w:rsidR="000E03E5">
        <w:rPr>
          <w:rFonts w:ascii="Times New Roman" w:hAnsi="Times New Roman" w:cs="Times New Roman"/>
          <w:sz w:val="24"/>
          <w:szCs w:val="24"/>
        </w:rPr>
        <w:t>1</w:t>
      </w:r>
      <w:r w:rsidRPr="000E03E5">
        <w:rPr>
          <w:rFonts w:ascii="Times New Roman" w:hAnsi="Times New Roman" w:cs="Times New Roman"/>
          <w:sz w:val="24"/>
          <w:szCs w:val="24"/>
        </w:rPr>
        <w:t>.</w:t>
      </w:r>
      <w:r w:rsidR="000E03E5">
        <w:rPr>
          <w:rFonts w:ascii="Times New Roman" w:hAnsi="Times New Roman" w:cs="Times New Roman"/>
          <w:sz w:val="24"/>
          <w:szCs w:val="24"/>
        </w:rPr>
        <w:t>233</w:t>
      </w:r>
      <w:r w:rsidRPr="000E03E5">
        <w:rPr>
          <w:rFonts w:ascii="Times New Roman" w:hAnsi="Times New Roman" w:cs="Times New Roman"/>
          <w:sz w:val="24"/>
          <w:szCs w:val="24"/>
        </w:rPr>
        <w:t xml:space="preserve"> feriti).</w:t>
      </w:r>
      <w:r w:rsidR="000E03E5">
        <w:rPr>
          <w:rFonts w:ascii="Times New Roman" w:hAnsi="Times New Roman" w:cs="Times New Roman"/>
          <w:sz w:val="24"/>
          <w:szCs w:val="24"/>
        </w:rPr>
        <w:t xml:space="preserve">  Il rapporto tra i generi, come atteso, evidenzia un netto svantaggio maschile, con proporzioni di feriti e vittime rispettivamente di circa 4 e 14 volte superiori rispetto alle donne.</w:t>
      </w:r>
    </w:p>
    <w:p w:rsidR="000E03E5" w:rsidRDefault="0033325F" w:rsidP="000E0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Nella</w:t>
      </w:r>
      <w:r w:rsidR="000E03E5">
        <w:rPr>
          <w:rFonts w:ascii="Times New Roman" w:hAnsi="Times New Roman" w:cs="Times New Roman"/>
          <w:sz w:val="24"/>
          <w:szCs w:val="24"/>
        </w:rPr>
        <w:t xml:space="preserve"> tabella 5 </w:t>
      </w:r>
      <w:r>
        <w:rPr>
          <w:rFonts w:ascii="Times New Roman" w:hAnsi="Times New Roman" w:cs="Times New Roman"/>
          <w:sz w:val="24"/>
          <w:szCs w:val="24"/>
        </w:rPr>
        <w:t>sono riportati</w:t>
      </w:r>
      <w:r w:rsidR="003C2D24">
        <w:rPr>
          <w:rFonts w:ascii="Times New Roman" w:hAnsi="Times New Roman" w:cs="Times New Roman"/>
          <w:sz w:val="24"/>
          <w:szCs w:val="24"/>
        </w:rPr>
        <w:t xml:space="preserve"> </w:t>
      </w:r>
      <w:r w:rsidR="000E03E5">
        <w:rPr>
          <w:rFonts w:ascii="Times New Roman" w:hAnsi="Times New Roman" w:cs="Times New Roman"/>
          <w:sz w:val="24"/>
          <w:szCs w:val="24"/>
        </w:rPr>
        <w:t>la distribuzione del numero degli utenti delle due ruote a motore vittime di incidenti stradali a livello regionale</w:t>
      </w:r>
      <w:r>
        <w:rPr>
          <w:rFonts w:ascii="Times New Roman" w:hAnsi="Times New Roman" w:cs="Times New Roman"/>
          <w:sz w:val="24"/>
          <w:szCs w:val="24"/>
        </w:rPr>
        <w:t xml:space="preserve"> nel complesso e su strade urbane</w:t>
      </w:r>
      <w:r w:rsidR="000E03E5">
        <w:rPr>
          <w:rFonts w:ascii="Times New Roman" w:hAnsi="Times New Roman" w:cs="Times New Roman"/>
          <w:sz w:val="24"/>
          <w:szCs w:val="24"/>
        </w:rPr>
        <w:t>. Le numero</w:t>
      </w:r>
      <w:r>
        <w:rPr>
          <w:rFonts w:ascii="Times New Roman" w:hAnsi="Times New Roman" w:cs="Times New Roman"/>
          <w:sz w:val="24"/>
          <w:szCs w:val="24"/>
        </w:rPr>
        <w:t xml:space="preserve">sità più elevate si registrano </w:t>
      </w:r>
      <w:r w:rsidR="000E03E5">
        <w:rPr>
          <w:rFonts w:ascii="Times New Roman" w:hAnsi="Times New Roman" w:cs="Times New Roman"/>
          <w:sz w:val="24"/>
          <w:szCs w:val="24"/>
        </w:rPr>
        <w:t>in Lombardia</w:t>
      </w:r>
      <w:r>
        <w:rPr>
          <w:rFonts w:ascii="Times New Roman" w:hAnsi="Times New Roman" w:cs="Times New Roman"/>
          <w:sz w:val="24"/>
          <w:szCs w:val="24"/>
        </w:rPr>
        <w:t xml:space="preserve">, Lazio, Veneto e Sicilia. </w:t>
      </w:r>
    </w:p>
    <w:p w:rsidR="0033325F" w:rsidRDefault="0033325F" w:rsidP="000E0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segnalare anche gli aumenti consistenti del numero delle vittime, in termini percentuali superiori al 50%, di Liguria, Trentino Alto Adige, Emilia Romagna e Sardegna, sia nel complesso, sia </w:t>
      </w:r>
      <w:r w:rsidR="003C2D24">
        <w:rPr>
          <w:rFonts w:ascii="Times New Roman" w:hAnsi="Times New Roman" w:cs="Times New Roman"/>
          <w:sz w:val="24"/>
          <w:szCs w:val="24"/>
        </w:rPr>
        <w:t xml:space="preserve">nel solo </w:t>
      </w:r>
      <w:r>
        <w:rPr>
          <w:rFonts w:ascii="Times New Roman" w:hAnsi="Times New Roman" w:cs="Times New Roman"/>
          <w:sz w:val="24"/>
          <w:szCs w:val="24"/>
        </w:rPr>
        <w:t xml:space="preserve">ambito urbano. Decrementi </w:t>
      </w:r>
      <w:r w:rsidR="00CB1594">
        <w:rPr>
          <w:rFonts w:ascii="Times New Roman" w:hAnsi="Times New Roman" w:cs="Times New Roman"/>
          <w:sz w:val="24"/>
          <w:szCs w:val="24"/>
        </w:rPr>
        <w:t xml:space="preserve">significativi </w:t>
      </w:r>
      <w:r>
        <w:rPr>
          <w:rFonts w:ascii="Times New Roman" w:hAnsi="Times New Roman" w:cs="Times New Roman"/>
          <w:sz w:val="24"/>
          <w:szCs w:val="24"/>
        </w:rPr>
        <w:t xml:space="preserve">si registrano, invece, </w:t>
      </w:r>
      <w:r w:rsidR="00CB1594">
        <w:rPr>
          <w:rFonts w:ascii="Times New Roman" w:hAnsi="Times New Roman" w:cs="Times New Roman"/>
          <w:sz w:val="24"/>
          <w:szCs w:val="24"/>
        </w:rPr>
        <w:t>in Friuli Venezia Giulia, Abruzzo e Calabria.</w:t>
      </w:r>
    </w:p>
    <w:p w:rsidR="00CB1594" w:rsidRDefault="00CB1594" w:rsidP="00CB15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BA7E96">
        <w:rPr>
          <w:rFonts w:ascii="Times New Roman" w:hAnsi="Times New Roman" w:cs="Times New Roman"/>
          <w:sz w:val="24"/>
          <w:szCs w:val="24"/>
        </w:rPr>
        <w:t xml:space="preserve">Il tasso di mortalità </w:t>
      </w:r>
      <w:r>
        <w:rPr>
          <w:rFonts w:ascii="Times New Roman" w:hAnsi="Times New Roman" w:cs="Times New Roman"/>
          <w:sz w:val="24"/>
          <w:szCs w:val="24"/>
        </w:rPr>
        <w:t xml:space="preserve">per le due ruote a motore, </w:t>
      </w:r>
      <w:r w:rsidRPr="00BA7E96">
        <w:rPr>
          <w:rFonts w:ascii="Times New Roman" w:hAnsi="Times New Roman" w:cs="Times New Roman"/>
          <w:sz w:val="24"/>
          <w:szCs w:val="24"/>
        </w:rPr>
        <w:t>nel 2015 è pari a 1</w:t>
      </w:r>
      <w:r>
        <w:rPr>
          <w:rFonts w:ascii="Times New Roman" w:hAnsi="Times New Roman" w:cs="Times New Roman"/>
          <w:sz w:val="24"/>
          <w:szCs w:val="24"/>
        </w:rPr>
        <w:t>,45</w:t>
      </w:r>
      <w:r w:rsidRPr="00BA7E96">
        <w:rPr>
          <w:rFonts w:ascii="Times New Roman" w:hAnsi="Times New Roman" w:cs="Times New Roman"/>
          <w:sz w:val="24"/>
          <w:szCs w:val="24"/>
        </w:rPr>
        <w:t xml:space="preserve"> per 100 mila abitanti, valore </w:t>
      </w:r>
      <w:r>
        <w:rPr>
          <w:rFonts w:ascii="Times New Roman" w:hAnsi="Times New Roman" w:cs="Times New Roman"/>
          <w:sz w:val="24"/>
          <w:szCs w:val="24"/>
        </w:rPr>
        <w:t>in aumento rispetto al 2010 (1,0 per 100.000</w:t>
      </w:r>
      <w:r w:rsidR="003C2D24">
        <w:rPr>
          <w:rFonts w:ascii="Times New Roman" w:hAnsi="Times New Roman" w:cs="Times New Roman"/>
          <w:sz w:val="24"/>
          <w:szCs w:val="24"/>
        </w:rPr>
        <w:t xml:space="preserve"> nel 2010</w:t>
      </w:r>
      <w:r>
        <w:rPr>
          <w:rFonts w:ascii="Times New Roman" w:hAnsi="Times New Roman" w:cs="Times New Roman"/>
          <w:sz w:val="24"/>
          <w:szCs w:val="24"/>
        </w:rPr>
        <w:t>). A</w:t>
      </w:r>
      <w:r w:rsidRPr="00BA7E96">
        <w:rPr>
          <w:rFonts w:ascii="Times New Roman" w:hAnsi="Times New Roman" w:cs="Times New Roman"/>
          <w:sz w:val="24"/>
          <w:szCs w:val="24"/>
        </w:rPr>
        <w:t xml:space="preserve"> livello regionale, si riscontra </w:t>
      </w:r>
      <w:r>
        <w:rPr>
          <w:rFonts w:ascii="Times New Roman" w:hAnsi="Times New Roman" w:cs="Times New Roman"/>
          <w:sz w:val="24"/>
          <w:szCs w:val="24"/>
        </w:rPr>
        <w:t>un</w:t>
      </w:r>
      <w:r w:rsidR="003C2D24">
        <w:rPr>
          <w:rFonts w:ascii="Times New Roman" w:hAnsi="Times New Roman" w:cs="Times New Roman"/>
          <w:sz w:val="24"/>
          <w:szCs w:val="24"/>
        </w:rPr>
        <w:t>a mortalità più elevata della me</w:t>
      </w:r>
      <w:r>
        <w:rPr>
          <w:rFonts w:ascii="Times New Roman" w:hAnsi="Times New Roman" w:cs="Times New Roman"/>
          <w:sz w:val="24"/>
          <w:szCs w:val="24"/>
        </w:rPr>
        <w:t xml:space="preserve">dia nazionale nelle Province autonome di Bolzano e Trento, Sardegna, Liguria, Toscana, Veneto, Lazio, Emilia Romagna, Valle d’Aosta, Piemonte e Umbria (tassi tra 4,2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e 1,5 per 100.000). </w:t>
      </w:r>
      <w:r w:rsidRPr="00BA7E96">
        <w:rPr>
          <w:rFonts w:ascii="Times New Roman" w:hAnsi="Times New Roman" w:cs="Times New Roman"/>
          <w:sz w:val="24"/>
          <w:szCs w:val="24"/>
        </w:rPr>
        <w:t xml:space="preserve">Rispetto al 2014 la mortalità dei </w:t>
      </w:r>
      <w:r>
        <w:rPr>
          <w:rFonts w:ascii="Times New Roman" w:hAnsi="Times New Roman" w:cs="Times New Roman"/>
          <w:sz w:val="24"/>
          <w:szCs w:val="24"/>
        </w:rPr>
        <w:t>centauri</w:t>
      </w:r>
      <w:r w:rsidRPr="00BA7E96">
        <w:rPr>
          <w:rFonts w:ascii="Times New Roman" w:hAnsi="Times New Roman" w:cs="Times New Roman"/>
          <w:sz w:val="24"/>
          <w:szCs w:val="24"/>
        </w:rPr>
        <w:t xml:space="preserve"> è aumentata </w:t>
      </w:r>
      <w:r>
        <w:rPr>
          <w:rFonts w:ascii="Times New Roman" w:hAnsi="Times New Roman" w:cs="Times New Roman"/>
          <w:sz w:val="24"/>
          <w:szCs w:val="24"/>
        </w:rPr>
        <w:t>quasi ovunque, fatta eccezione per Friuli Venezia Giulia e Marche.</w:t>
      </w:r>
    </w:p>
    <w:p w:rsidR="00CB1594" w:rsidRDefault="00CB1594" w:rsidP="004D701B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</w:p>
    <w:p w:rsidR="004D701B" w:rsidRDefault="004D701B" w:rsidP="004D701B">
      <w:pPr>
        <w:spacing w:after="0" w:line="240" w:lineRule="auto"/>
        <w:jc w:val="both"/>
        <w:rPr>
          <w:rFonts w:ascii="Times New Roman" w:hAnsi="Times New Roman" w:cs="Times New Roman"/>
          <w:i/>
          <w:spacing w:val="-10"/>
          <w:sz w:val="24"/>
          <w:szCs w:val="24"/>
        </w:rPr>
      </w:pPr>
      <w:r w:rsidRPr="00E95BA6">
        <w:rPr>
          <w:rFonts w:ascii="Times New Roman" w:hAnsi="Times New Roman" w:cs="Times New Roman"/>
          <w:b/>
          <w:spacing w:val="-10"/>
          <w:sz w:val="24"/>
          <w:szCs w:val="24"/>
        </w:rPr>
        <w:t xml:space="preserve">Tab. </w:t>
      </w:r>
      <w:r w:rsidR="0048685F">
        <w:rPr>
          <w:rFonts w:ascii="Times New Roman" w:hAnsi="Times New Roman" w:cs="Times New Roman"/>
          <w:b/>
          <w:spacing w:val="-10"/>
          <w:sz w:val="24"/>
          <w:szCs w:val="24"/>
        </w:rPr>
        <w:t>5</w:t>
      </w:r>
      <w:r w:rsidRPr="00E95BA6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>–</w:t>
      </w:r>
      <w:r w:rsidRPr="00E95BA6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>Utenti delle due ruote a motore</w:t>
      </w:r>
      <w:r w:rsidRPr="00E95BA6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morti in incidenti stradali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per R</w:t>
      </w:r>
      <w:r w:rsidRPr="00E95BA6">
        <w:rPr>
          <w:rFonts w:ascii="Times New Roman" w:hAnsi="Times New Roman" w:cs="Times New Roman"/>
          <w:b/>
          <w:spacing w:val="-10"/>
          <w:sz w:val="24"/>
          <w:szCs w:val="24"/>
        </w:rPr>
        <w:t>egione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di evento nel complesso e in ambito urbano. Anni 2001, 2010-2015</w:t>
      </w:r>
      <w:r w:rsidRPr="00E95BA6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635C57">
        <w:rPr>
          <w:rFonts w:ascii="Times New Roman" w:hAnsi="Times New Roman" w:cs="Times New Roman"/>
          <w:i/>
          <w:spacing w:val="-10"/>
          <w:sz w:val="24"/>
          <w:szCs w:val="24"/>
        </w:rPr>
        <w:t>(valori assoluti)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3"/>
        <w:gridCol w:w="534"/>
        <w:gridCol w:w="535"/>
        <w:gridCol w:w="534"/>
        <w:gridCol w:w="535"/>
        <w:gridCol w:w="534"/>
        <w:gridCol w:w="535"/>
        <w:gridCol w:w="534"/>
        <w:gridCol w:w="535"/>
        <w:gridCol w:w="534"/>
        <w:gridCol w:w="535"/>
        <w:gridCol w:w="534"/>
        <w:gridCol w:w="535"/>
        <w:gridCol w:w="534"/>
        <w:gridCol w:w="535"/>
      </w:tblGrid>
      <w:tr w:rsidR="004D701B" w:rsidRPr="008F364D" w:rsidTr="004D701B">
        <w:trPr>
          <w:trHeight w:hRule="exact" w:val="284"/>
        </w:trPr>
        <w:tc>
          <w:tcPr>
            <w:tcW w:w="231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D701B" w:rsidRPr="008F364D" w:rsidRDefault="004D701B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Regioni</w:t>
            </w:r>
          </w:p>
        </w:tc>
        <w:tc>
          <w:tcPr>
            <w:tcW w:w="374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01B" w:rsidRPr="008F364D" w:rsidRDefault="004D701B" w:rsidP="004D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Totale utenti due ruote morti nel complesso</w:t>
            </w:r>
          </w:p>
        </w:tc>
        <w:tc>
          <w:tcPr>
            <w:tcW w:w="3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701B" w:rsidRPr="008F364D" w:rsidRDefault="004D701B" w:rsidP="004D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 cui in ambito urbano</w:t>
            </w:r>
          </w:p>
        </w:tc>
      </w:tr>
      <w:tr w:rsidR="004D701B" w:rsidRPr="008F364D" w:rsidTr="004D701B">
        <w:trPr>
          <w:trHeight w:hRule="exact" w:val="284"/>
        </w:trPr>
        <w:tc>
          <w:tcPr>
            <w:tcW w:w="231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01B" w:rsidRPr="008F364D" w:rsidRDefault="004D701B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2001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2010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2011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2012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2013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2014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2015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2001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2010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01B" w:rsidRPr="008F364D" w:rsidRDefault="004D701B" w:rsidP="004D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2011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2012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2013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01B" w:rsidRPr="008F364D" w:rsidRDefault="004D701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2014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01B" w:rsidRPr="008F364D" w:rsidRDefault="004D701B" w:rsidP="004D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2015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Piemonte</w:t>
            </w:r>
          </w:p>
        </w:tc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Valle d'Aosta/ </w:t>
            </w:r>
            <w:proofErr w:type="spellStart"/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Vallée</w:t>
            </w:r>
            <w:proofErr w:type="spellEnd"/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d'</w:t>
            </w:r>
            <w:proofErr w:type="spellStart"/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Aoste</w:t>
            </w:r>
            <w:proofErr w:type="spellEnd"/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Liguria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Trentino Alto Adige/ Südtirol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Bolzano/Bozen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Trento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Veneto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Friuli Venezia Giulia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Emilia Romagna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Toscana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Umbria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Marche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Lazio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Abruzzo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Molise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Campania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Puglia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Basilicata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Calabria 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Sicilia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535" w:type="dxa"/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34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5" w:type="dxa"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</w:tr>
      <w:tr w:rsidR="001D0A96" w:rsidRPr="008F364D" w:rsidTr="001D0A96">
        <w:trPr>
          <w:trHeight w:hRule="exact" w:val="198"/>
        </w:trPr>
        <w:tc>
          <w:tcPr>
            <w:tcW w:w="23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A96" w:rsidRPr="008F364D" w:rsidRDefault="001D0A96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Sardegna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:rsidR="001D0A96" w:rsidRPr="001D0A96" w:rsidRDefault="001D0A96" w:rsidP="001D0A9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1D0A96" w:rsidRPr="008F364D" w:rsidTr="0066437E">
        <w:trPr>
          <w:trHeight w:hRule="exact" w:val="227"/>
        </w:trPr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A96" w:rsidRPr="008F364D" w:rsidRDefault="001D0A96" w:rsidP="00BF7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Italia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974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853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816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878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874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588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567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488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433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433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A96" w:rsidRPr="001D0A96" w:rsidRDefault="001D0A96" w:rsidP="0066437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D0A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450</w:t>
            </w:r>
          </w:p>
        </w:tc>
      </w:tr>
    </w:tbl>
    <w:p w:rsidR="004D701B" w:rsidRPr="00961463" w:rsidRDefault="004D701B" w:rsidP="004D701B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61463">
        <w:rPr>
          <w:rFonts w:ascii="Times New Roman" w:hAnsi="Times New Roman" w:cs="Times New Roman"/>
          <w:sz w:val="18"/>
          <w:szCs w:val="18"/>
        </w:rPr>
        <w:t>(a) Sono incluse nella categoria “Strade urbane” anche le Provinciali, Statali e Regionali entro l’abitato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4D701B" w:rsidRDefault="004D701B" w:rsidP="004D701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61463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961463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48685F" w:rsidRDefault="0048685F" w:rsidP="004D701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8685F" w:rsidRPr="00961463" w:rsidRDefault="0048685F" w:rsidP="00CB159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>Fig. 4</w:t>
      </w:r>
      <w:r w:rsidRPr="00FD63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 Tassi di mortalità</w:t>
      </w:r>
      <w:r w:rsidRPr="00FD63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per gli utenti delle due ruote a motore </w:t>
      </w:r>
      <w:r w:rsidRPr="00FD6383">
        <w:rPr>
          <w:rFonts w:ascii="Times New Roman" w:hAnsi="Times New Roman" w:cs="Times New Roman"/>
          <w:b/>
          <w:sz w:val="24"/>
          <w:szCs w:val="24"/>
        </w:rPr>
        <w:t>in incidenti stradali</w:t>
      </w:r>
      <w:r>
        <w:rPr>
          <w:rFonts w:ascii="Times New Roman" w:hAnsi="Times New Roman" w:cs="Times New Roman"/>
          <w:b/>
          <w:sz w:val="24"/>
          <w:szCs w:val="24"/>
        </w:rPr>
        <w:t xml:space="preserve"> per Regione. Anni 2010 e 2015 </w:t>
      </w:r>
      <w:r w:rsidRPr="00D50046">
        <w:rPr>
          <w:rFonts w:ascii="Times New Roman" w:hAnsi="Times New Roman" w:cs="Times New Roman"/>
          <w:i/>
          <w:sz w:val="24"/>
          <w:szCs w:val="24"/>
        </w:rPr>
        <w:t>(per  100.000 abitanti)</w:t>
      </w:r>
      <w:r w:rsidRPr="00D50046">
        <w:rPr>
          <w:i/>
          <w:noProof/>
          <w:lang w:eastAsia="it-IT"/>
        </w:rPr>
        <w:t xml:space="preserve"> </w:t>
      </w:r>
    </w:p>
    <w:p w:rsidR="00CB1594" w:rsidRPr="00CB1594" w:rsidRDefault="000C14EB" w:rsidP="00CB159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170BE8C6" wp14:editId="7D8E07C6">
            <wp:extent cx="6122504" cy="2393342"/>
            <wp:effectExtent l="0" t="0" r="0" b="6985"/>
            <wp:docPr id="11" name="Gra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CB1594" w:rsidRPr="0002767C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="00CB1594" w:rsidRPr="0002767C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005655" w:rsidRDefault="003C2D24" w:rsidP="0038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F1872" w:rsidRPr="00BF1872">
        <w:rPr>
          <w:rFonts w:ascii="Times New Roman" w:hAnsi="Times New Roman" w:cs="Times New Roman"/>
          <w:sz w:val="24"/>
          <w:szCs w:val="24"/>
        </w:rPr>
        <w:t xml:space="preserve">l </w:t>
      </w:r>
      <w:r w:rsidR="00BF1872" w:rsidRPr="00CF420E">
        <w:rPr>
          <w:rFonts w:ascii="Times New Roman" w:hAnsi="Times New Roman" w:cs="Times New Roman"/>
          <w:b/>
          <w:i/>
          <w:sz w:val="24"/>
          <w:szCs w:val="24"/>
        </w:rPr>
        <w:t>pedone</w:t>
      </w:r>
      <w:r w:rsidR="006643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437E">
        <w:rPr>
          <w:rFonts w:ascii="Times New Roman" w:hAnsi="Times New Roman" w:cs="Times New Roman"/>
          <w:sz w:val="24"/>
          <w:szCs w:val="24"/>
        </w:rPr>
        <w:t xml:space="preserve">è </w:t>
      </w:r>
      <w:r w:rsidR="00BF1872" w:rsidRPr="00BF1872">
        <w:rPr>
          <w:rFonts w:ascii="Times New Roman" w:hAnsi="Times New Roman" w:cs="Times New Roman"/>
          <w:sz w:val="24"/>
          <w:szCs w:val="24"/>
        </w:rPr>
        <w:t>uno dei soggetti più vulnerabili fra le persone c</w:t>
      </w:r>
      <w:r w:rsidR="0066437E">
        <w:rPr>
          <w:rFonts w:ascii="Times New Roman" w:hAnsi="Times New Roman" w:cs="Times New Roman"/>
          <w:sz w:val="24"/>
          <w:szCs w:val="24"/>
        </w:rPr>
        <w:t xml:space="preserve">oinvolte in incidenti stradali, nel </w:t>
      </w:r>
      <w:r w:rsidR="00005655">
        <w:rPr>
          <w:rFonts w:ascii="Times New Roman" w:hAnsi="Times New Roman" w:cs="Times New Roman"/>
          <w:sz w:val="24"/>
          <w:szCs w:val="24"/>
        </w:rPr>
        <w:t xml:space="preserve"> 201</w:t>
      </w:r>
      <w:r w:rsidR="00C92825">
        <w:rPr>
          <w:rFonts w:ascii="Times New Roman" w:hAnsi="Times New Roman" w:cs="Times New Roman"/>
          <w:sz w:val="24"/>
          <w:szCs w:val="24"/>
        </w:rPr>
        <w:t xml:space="preserve">5 </w:t>
      </w:r>
      <w:r w:rsidR="0066437E">
        <w:rPr>
          <w:rFonts w:ascii="Times New Roman" w:hAnsi="Times New Roman" w:cs="Times New Roman"/>
          <w:sz w:val="24"/>
          <w:szCs w:val="24"/>
        </w:rPr>
        <w:t>le vittime ammontano a</w:t>
      </w:r>
      <w:r w:rsidR="00C92825">
        <w:rPr>
          <w:rFonts w:ascii="Times New Roman" w:hAnsi="Times New Roman" w:cs="Times New Roman"/>
          <w:sz w:val="24"/>
          <w:szCs w:val="24"/>
        </w:rPr>
        <w:t xml:space="preserve"> 602 e</w:t>
      </w:r>
      <w:r w:rsidR="00005655">
        <w:rPr>
          <w:rFonts w:ascii="Times New Roman" w:hAnsi="Times New Roman" w:cs="Times New Roman"/>
          <w:sz w:val="24"/>
          <w:szCs w:val="24"/>
        </w:rPr>
        <w:t xml:space="preserve"> i feriti </w:t>
      </w:r>
      <w:r w:rsidR="0066437E">
        <w:rPr>
          <w:rFonts w:ascii="Times New Roman" w:hAnsi="Times New Roman" w:cs="Times New Roman"/>
          <w:sz w:val="24"/>
          <w:szCs w:val="24"/>
        </w:rPr>
        <w:t xml:space="preserve">a </w:t>
      </w:r>
      <w:r w:rsidR="00005655">
        <w:rPr>
          <w:rFonts w:ascii="Times New Roman" w:hAnsi="Times New Roman" w:cs="Times New Roman"/>
          <w:sz w:val="24"/>
          <w:szCs w:val="24"/>
        </w:rPr>
        <w:t>2</w:t>
      </w:r>
      <w:r w:rsidR="00C92825">
        <w:rPr>
          <w:rFonts w:ascii="Times New Roman" w:hAnsi="Times New Roman" w:cs="Times New Roman"/>
          <w:sz w:val="24"/>
          <w:szCs w:val="24"/>
        </w:rPr>
        <w:t>0.511.</w:t>
      </w:r>
    </w:p>
    <w:p w:rsidR="0074216D" w:rsidRDefault="00BF1872" w:rsidP="0038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872">
        <w:rPr>
          <w:rFonts w:ascii="Times New Roman" w:hAnsi="Times New Roman" w:cs="Times New Roman"/>
          <w:sz w:val="24"/>
          <w:szCs w:val="24"/>
        </w:rPr>
        <w:t xml:space="preserve">Il rischio di infortunio causato da investimento è particolarmente alto per la popolazione anziana, più frequentemente coinvolta nel ruolo di pedone sulla strada. </w:t>
      </w:r>
      <w:r w:rsidRPr="00B14824">
        <w:rPr>
          <w:rFonts w:ascii="Times New Roman" w:hAnsi="Times New Roman" w:cs="Times New Roman"/>
          <w:sz w:val="24"/>
          <w:szCs w:val="24"/>
        </w:rPr>
        <w:t>Nel 201</w:t>
      </w:r>
      <w:r w:rsidR="00B14824" w:rsidRPr="00B14824">
        <w:rPr>
          <w:rFonts w:ascii="Times New Roman" w:hAnsi="Times New Roman" w:cs="Times New Roman"/>
          <w:sz w:val="24"/>
          <w:szCs w:val="24"/>
        </w:rPr>
        <w:t>5</w:t>
      </w:r>
      <w:r w:rsidR="003C2D24">
        <w:rPr>
          <w:rFonts w:ascii="Times New Roman" w:hAnsi="Times New Roman" w:cs="Times New Roman"/>
          <w:sz w:val="24"/>
          <w:szCs w:val="24"/>
        </w:rPr>
        <w:t>,</w:t>
      </w:r>
      <w:r w:rsidRPr="00B14824">
        <w:rPr>
          <w:rFonts w:ascii="Times New Roman" w:hAnsi="Times New Roman" w:cs="Times New Roman"/>
          <w:sz w:val="24"/>
          <w:szCs w:val="24"/>
        </w:rPr>
        <w:t xml:space="preserve"> il </w:t>
      </w:r>
      <w:r w:rsidR="00B14824" w:rsidRPr="00B14824">
        <w:rPr>
          <w:rFonts w:ascii="Times New Roman" w:hAnsi="Times New Roman" w:cs="Times New Roman"/>
          <w:sz w:val="24"/>
          <w:szCs w:val="24"/>
        </w:rPr>
        <w:t>67% dei pedoni vittime della strada sono uomini</w:t>
      </w:r>
      <w:r w:rsidR="002C45E3">
        <w:rPr>
          <w:rFonts w:ascii="Times New Roman" w:hAnsi="Times New Roman" w:cs="Times New Roman"/>
          <w:sz w:val="24"/>
          <w:szCs w:val="24"/>
        </w:rPr>
        <w:t>, la percentuale di uomini</w:t>
      </w:r>
      <w:r w:rsidR="003C2D24">
        <w:rPr>
          <w:rFonts w:ascii="Times New Roman" w:hAnsi="Times New Roman" w:cs="Times New Roman"/>
          <w:sz w:val="24"/>
          <w:szCs w:val="24"/>
        </w:rPr>
        <w:t>, poi,</w:t>
      </w:r>
      <w:r w:rsidR="002C45E3">
        <w:rPr>
          <w:rFonts w:ascii="Times New Roman" w:hAnsi="Times New Roman" w:cs="Times New Roman"/>
          <w:sz w:val="24"/>
          <w:szCs w:val="24"/>
        </w:rPr>
        <w:t xml:space="preserve"> sale nelle età comprese tra 30 e 49 anni. La fascia di età più colpita tra gli uomini è </w:t>
      </w:r>
      <w:r w:rsidR="00036560">
        <w:rPr>
          <w:rFonts w:ascii="Times New Roman" w:hAnsi="Times New Roman" w:cs="Times New Roman"/>
          <w:sz w:val="24"/>
          <w:szCs w:val="24"/>
        </w:rPr>
        <w:t xml:space="preserve">quella tra </w:t>
      </w:r>
      <w:r w:rsidR="002C45E3">
        <w:rPr>
          <w:rFonts w:ascii="Times New Roman" w:hAnsi="Times New Roman" w:cs="Times New Roman"/>
          <w:sz w:val="24"/>
          <w:szCs w:val="24"/>
        </w:rPr>
        <w:t>75</w:t>
      </w:r>
      <w:r w:rsidR="00036560">
        <w:rPr>
          <w:rFonts w:ascii="Times New Roman" w:hAnsi="Times New Roman" w:cs="Times New Roman"/>
          <w:sz w:val="24"/>
          <w:szCs w:val="24"/>
        </w:rPr>
        <w:t xml:space="preserve"> e </w:t>
      </w:r>
      <w:r w:rsidR="002C45E3">
        <w:rPr>
          <w:rFonts w:ascii="Times New Roman" w:hAnsi="Times New Roman" w:cs="Times New Roman"/>
          <w:sz w:val="24"/>
          <w:szCs w:val="24"/>
        </w:rPr>
        <w:t>79 anni (55 vittime) e tra le donne 80-84 anni (43 vittime).</w:t>
      </w:r>
      <w:r w:rsidR="00CB1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17C" w:rsidRDefault="00280692" w:rsidP="0038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La tabella </w:t>
      </w:r>
      <w:r w:rsidR="0066437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presenta la distribuzione del numero dei pedoni</w:t>
      </w:r>
      <w:r w:rsidR="00F36ABB">
        <w:rPr>
          <w:rFonts w:ascii="Times New Roman" w:hAnsi="Times New Roman" w:cs="Times New Roman"/>
          <w:sz w:val="24"/>
          <w:szCs w:val="24"/>
        </w:rPr>
        <w:t xml:space="preserve"> vittime di incidenti stradali </w:t>
      </w:r>
      <w:r w:rsidR="000E03E5">
        <w:rPr>
          <w:rFonts w:ascii="Times New Roman" w:hAnsi="Times New Roman" w:cs="Times New Roman"/>
          <w:sz w:val="24"/>
          <w:szCs w:val="24"/>
        </w:rPr>
        <w:t>a livello regionale, per il complesso degli ambiti stradali e su strade urbane</w:t>
      </w:r>
      <w:r w:rsidR="008B5BAD">
        <w:rPr>
          <w:rFonts w:ascii="Times New Roman" w:hAnsi="Times New Roman" w:cs="Times New Roman"/>
          <w:sz w:val="24"/>
          <w:szCs w:val="24"/>
        </w:rPr>
        <w:t>.</w:t>
      </w:r>
      <w:r w:rsidR="00CB15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 numerosità più elevate </w:t>
      </w:r>
      <w:r w:rsidR="000E03E5">
        <w:rPr>
          <w:rFonts w:ascii="Times New Roman" w:hAnsi="Times New Roman" w:cs="Times New Roman"/>
          <w:sz w:val="24"/>
          <w:szCs w:val="24"/>
        </w:rPr>
        <w:t xml:space="preserve">di vittime </w:t>
      </w:r>
      <w:r>
        <w:rPr>
          <w:rFonts w:ascii="Times New Roman" w:hAnsi="Times New Roman" w:cs="Times New Roman"/>
          <w:sz w:val="24"/>
          <w:szCs w:val="24"/>
        </w:rPr>
        <w:t xml:space="preserve">si registrano, come </w:t>
      </w:r>
      <w:r w:rsidR="000E03E5">
        <w:rPr>
          <w:rFonts w:ascii="Times New Roman" w:hAnsi="Times New Roman" w:cs="Times New Roman"/>
          <w:sz w:val="24"/>
          <w:szCs w:val="24"/>
        </w:rPr>
        <w:t>atteso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E03E5">
        <w:rPr>
          <w:rFonts w:ascii="Times New Roman" w:hAnsi="Times New Roman" w:cs="Times New Roman"/>
          <w:sz w:val="24"/>
          <w:szCs w:val="24"/>
        </w:rPr>
        <w:t>nel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6ABB">
        <w:rPr>
          <w:rFonts w:ascii="Times New Roman" w:hAnsi="Times New Roman" w:cs="Times New Roman"/>
          <w:sz w:val="24"/>
          <w:szCs w:val="24"/>
        </w:rPr>
        <w:t>Lazio,</w:t>
      </w:r>
      <w:r w:rsidR="000E03E5">
        <w:rPr>
          <w:rFonts w:ascii="Times New Roman" w:hAnsi="Times New Roman" w:cs="Times New Roman"/>
          <w:sz w:val="24"/>
          <w:szCs w:val="24"/>
        </w:rPr>
        <w:t xml:space="preserve"> in</w:t>
      </w:r>
      <w:r w:rsidR="00F36A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Lombardia</w:t>
      </w:r>
      <w:r w:rsidR="00F36ABB">
        <w:rPr>
          <w:rFonts w:ascii="Times New Roman" w:hAnsi="Times New Roman" w:cs="Times New Roman"/>
          <w:sz w:val="24"/>
          <w:szCs w:val="24"/>
        </w:rPr>
        <w:t xml:space="preserve"> e </w:t>
      </w:r>
      <w:r w:rsidR="000E03E5">
        <w:rPr>
          <w:rFonts w:ascii="Times New Roman" w:hAnsi="Times New Roman" w:cs="Times New Roman"/>
          <w:sz w:val="24"/>
          <w:szCs w:val="24"/>
        </w:rPr>
        <w:t xml:space="preserve">in </w:t>
      </w:r>
      <w:r w:rsidR="00F36ABB">
        <w:rPr>
          <w:rFonts w:ascii="Times New Roman" w:hAnsi="Times New Roman" w:cs="Times New Roman"/>
          <w:sz w:val="24"/>
          <w:szCs w:val="24"/>
        </w:rPr>
        <w:t>Toscana.</w:t>
      </w:r>
      <w:r w:rsidR="002D4D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16D" w:rsidRDefault="0074216D" w:rsidP="0038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1649" w:rsidRDefault="00286201" w:rsidP="00380794">
      <w:pPr>
        <w:spacing w:after="0" w:line="240" w:lineRule="auto"/>
        <w:jc w:val="both"/>
        <w:rPr>
          <w:rFonts w:ascii="Times New Roman" w:hAnsi="Times New Roman" w:cs="Times New Roman"/>
          <w:i/>
          <w:spacing w:val="-10"/>
          <w:sz w:val="24"/>
          <w:szCs w:val="24"/>
        </w:rPr>
      </w:pPr>
      <w:r w:rsidRPr="00E95BA6">
        <w:rPr>
          <w:rFonts w:ascii="Times New Roman" w:hAnsi="Times New Roman" w:cs="Times New Roman"/>
          <w:b/>
          <w:spacing w:val="-10"/>
          <w:sz w:val="24"/>
          <w:szCs w:val="24"/>
        </w:rPr>
        <w:t xml:space="preserve">Tab. </w:t>
      </w:r>
      <w:r w:rsidR="0048685F">
        <w:rPr>
          <w:rFonts w:ascii="Times New Roman" w:hAnsi="Times New Roman" w:cs="Times New Roman"/>
          <w:b/>
          <w:spacing w:val="-10"/>
          <w:sz w:val="24"/>
          <w:szCs w:val="24"/>
        </w:rPr>
        <w:t>6</w:t>
      </w:r>
      <w:r w:rsidR="00C410EE" w:rsidRPr="00E95BA6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-</w:t>
      </w:r>
      <w:r w:rsidR="004E1649" w:rsidRPr="00E95BA6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Pedoni morti in incidenti stradali</w:t>
      </w:r>
      <w:r w:rsidR="00784E86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per R</w:t>
      </w:r>
      <w:r w:rsidR="004E1649" w:rsidRPr="00E95BA6">
        <w:rPr>
          <w:rFonts w:ascii="Times New Roman" w:hAnsi="Times New Roman" w:cs="Times New Roman"/>
          <w:b/>
          <w:spacing w:val="-10"/>
          <w:sz w:val="24"/>
          <w:szCs w:val="24"/>
        </w:rPr>
        <w:t>egione</w:t>
      </w:r>
      <w:r w:rsidR="000170C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di evento</w:t>
      </w:r>
      <w:r w:rsidR="00635C57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nel complesso e in ambito urbano</w:t>
      </w:r>
      <w:r w:rsidR="000170C8">
        <w:rPr>
          <w:rFonts w:ascii="Times New Roman" w:hAnsi="Times New Roman" w:cs="Times New Roman"/>
          <w:b/>
          <w:spacing w:val="-10"/>
          <w:sz w:val="24"/>
          <w:szCs w:val="24"/>
        </w:rPr>
        <w:t>. Anni 2001, 2010-2015</w:t>
      </w:r>
      <w:r w:rsidR="004E1649" w:rsidRPr="00E95BA6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="004E1649" w:rsidRPr="00635C57">
        <w:rPr>
          <w:rFonts w:ascii="Times New Roman" w:hAnsi="Times New Roman" w:cs="Times New Roman"/>
          <w:i/>
          <w:spacing w:val="-10"/>
          <w:sz w:val="24"/>
          <w:szCs w:val="24"/>
        </w:rPr>
        <w:t>(valori assoluti)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3"/>
        <w:gridCol w:w="534"/>
        <w:gridCol w:w="535"/>
        <w:gridCol w:w="534"/>
        <w:gridCol w:w="535"/>
        <w:gridCol w:w="534"/>
        <w:gridCol w:w="535"/>
        <w:gridCol w:w="534"/>
        <w:gridCol w:w="535"/>
        <w:gridCol w:w="534"/>
        <w:gridCol w:w="535"/>
        <w:gridCol w:w="534"/>
        <w:gridCol w:w="535"/>
        <w:gridCol w:w="534"/>
        <w:gridCol w:w="535"/>
      </w:tblGrid>
      <w:tr w:rsidR="00635C57" w:rsidRPr="008F364D" w:rsidTr="004D701B">
        <w:trPr>
          <w:trHeight w:hRule="exact" w:val="284"/>
        </w:trPr>
        <w:tc>
          <w:tcPr>
            <w:tcW w:w="231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Regioni</w:t>
            </w:r>
          </w:p>
        </w:tc>
        <w:tc>
          <w:tcPr>
            <w:tcW w:w="374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C57" w:rsidRPr="008F364D" w:rsidRDefault="00635C57" w:rsidP="0063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Totale pedoni morti nel complesso</w:t>
            </w:r>
          </w:p>
        </w:tc>
        <w:tc>
          <w:tcPr>
            <w:tcW w:w="3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C57" w:rsidRPr="008F364D" w:rsidRDefault="00635C57" w:rsidP="004D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 cui in ambito urbano</w:t>
            </w:r>
          </w:p>
        </w:tc>
      </w:tr>
      <w:tr w:rsidR="00635C57" w:rsidRPr="008F364D" w:rsidTr="004D701B">
        <w:trPr>
          <w:trHeight w:hRule="exact" w:val="284"/>
        </w:trPr>
        <w:tc>
          <w:tcPr>
            <w:tcW w:w="231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2001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2010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2011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2012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2013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2014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2015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2001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2010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8F364D" w:rsidRDefault="00635C57" w:rsidP="004D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2011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2012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2013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8F364D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2014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8F364D" w:rsidRDefault="00635C57" w:rsidP="004D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2015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Piemonte</w:t>
            </w:r>
          </w:p>
        </w:tc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Valle d'Aosta/ </w:t>
            </w:r>
            <w:proofErr w:type="spellStart"/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Vallée</w:t>
            </w:r>
            <w:proofErr w:type="spellEnd"/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d'</w:t>
            </w:r>
            <w:proofErr w:type="spellStart"/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Aoste</w:t>
            </w:r>
            <w:proofErr w:type="spellEnd"/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Liguria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125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64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Trentino Alto Adige/ Südtirol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Bolzano/Bozen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Trento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Veneto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Friuli Venezia Giulia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Emilia Romagna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40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Toscana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113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44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Umbria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Marche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19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Lazio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197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171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67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Abruzzo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Molise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Campania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33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Puglia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19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Basilicata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Calabria 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Sicilia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34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35" w:type="dxa"/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36</w:t>
            </w:r>
          </w:p>
        </w:tc>
      </w:tr>
      <w:tr w:rsidR="00635C57" w:rsidRPr="008F364D" w:rsidTr="004D701B">
        <w:trPr>
          <w:trHeight w:hRule="exact" w:val="198"/>
        </w:trPr>
        <w:tc>
          <w:tcPr>
            <w:tcW w:w="23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Sardegna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</w:tr>
      <w:tr w:rsidR="00635C57" w:rsidRPr="008F364D" w:rsidTr="004D701B">
        <w:trPr>
          <w:trHeight w:hRule="exact" w:val="227"/>
        </w:trPr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C57" w:rsidRPr="008F364D" w:rsidRDefault="00635C57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Italia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1.032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621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589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576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551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578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602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836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491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481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453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411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468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C57" w:rsidRPr="004E417C" w:rsidRDefault="00635C57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E4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464</w:t>
            </w:r>
          </w:p>
        </w:tc>
      </w:tr>
    </w:tbl>
    <w:p w:rsidR="000D4C04" w:rsidRPr="00961463" w:rsidRDefault="000D4C04" w:rsidP="0038079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61463">
        <w:rPr>
          <w:rFonts w:ascii="Times New Roman" w:hAnsi="Times New Roman" w:cs="Times New Roman"/>
          <w:sz w:val="18"/>
          <w:szCs w:val="18"/>
        </w:rPr>
        <w:t>(a) Sono incluse nella categoria “Strade urbane” anche le Provinciali, Statali e Regionali entro l’abitato</w:t>
      </w:r>
      <w:r w:rsidR="00E95BA6">
        <w:rPr>
          <w:rFonts w:ascii="Times New Roman" w:hAnsi="Times New Roman" w:cs="Times New Roman"/>
          <w:sz w:val="18"/>
          <w:szCs w:val="18"/>
        </w:rPr>
        <w:t>.</w:t>
      </w:r>
    </w:p>
    <w:p w:rsidR="000D4C04" w:rsidRPr="00961463" w:rsidRDefault="000D4C04" w:rsidP="0038079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61463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961463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D50046" w:rsidRDefault="00D50046" w:rsidP="0038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216D" w:rsidRDefault="0074216D" w:rsidP="007421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Una misura relativa dell’intensità del fenomeno, rispetto alla dimensione demografica delle regioni, è data, infine, dai tassi di mortalità riportati in figura </w:t>
      </w:r>
      <w:r w:rsidRPr="004D701B">
        <w:rPr>
          <w:rFonts w:ascii="Times New Roman" w:hAnsi="Times New Roman" w:cs="Times New Roman"/>
          <w:sz w:val="24"/>
          <w:szCs w:val="24"/>
        </w:rPr>
        <w:t>5.</w:t>
      </w:r>
    </w:p>
    <w:p w:rsidR="00481647" w:rsidRDefault="00481647" w:rsidP="0038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7E96">
        <w:rPr>
          <w:rFonts w:ascii="Times New Roman" w:hAnsi="Times New Roman" w:cs="Times New Roman"/>
          <w:sz w:val="24"/>
          <w:szCs w:val="24"/>
        </w:rPr>
        <w:t>Il tasso di mortalità dei pedoni nel 201</w:t>
      </w:r>
      <w:r w:rsidR="00CE52A4" w:rsidRPr="00BA7E96">
        <w:rPr>
          <w:rFonts w:ascii="Times New Roman" w:hAnsi="Times New Roman" w:cs="Times New Roman"/>
          <w:sz w:val="24"/>
          <w:szCs w:val="24"/>
        </w:rPr>
        <w:t>5</w:t>
      </w:r>
      <w:r w:rsidRPr="00BA7E96">
        <w:rPr>
          <w:rFonts w:ascii="Times New Roman" w:hAnsi="Times New Roman" w:cs="Times New Roman"/>
          <w:sz w:val="24"/>
          <w:szCs w:val="24"/>
        </w:rPr>
        <w:t xml:space="preserve"> è pari a 1</w:t>
      </w:r>
      <w:r w:rsidR="00BA7E96">
        <w:rPr>
          <w:rFonts w:ascii="Times New Roman" w:hAnsi="Times New Roman" w:cs="Times New Roman"/>
          <w:sz w:val="24"/>
          <w:szCs w:val="24"/>
        </w:rPr>
        <w:t xml:space="preserve"> decesso</w:t>
      </w:r>
      <w:r w:rsidRPr="00BA7E96">
        <w:rPr>
          <w:rFonts w:ascii="Times New Roman" w:hAnsi="Times New Roman" w:cs="Times New Roman"/>
          <w:sz w:val="24"/>
          <w:szCs w:val="24"/>
        </w:rPr>
        <w:t xml:space="preserve"> per 100 mila abitanti, valore pressoché stabile negli ultimi 5 anni.</w:t>
      </w:r>
      <w:r w:rsidR="0074216D">
        <w:rPr>
          <w:rFonts w:ascii="Times New Roman" w:hAnsi="Times New Roman" w:cs="Times New Roman"/>
          <w:sz w:val="24"/>
          <w:szCs w:val="24"/>
        </w:rPr>
        <w:t xml:space="preserve"> </w:t>
      </w:r>
      <w:r w:rsidRPr="00BA7E96">
        <w:rPr>
          <w:rFonts w:ascii="Times New Roman" w:hAnsi="Times New Roman" w:cs="Times New Roman"/>
          <w:sz w:val="24"/>
          <w:szCs w:val="24"/>
        </w:rPr>
        <w:t>A livello regionale</w:t>
      </w:r>
      <w:r w:rsidR="001142CC" w:rsidRPr="00BA7E96">
        <w:rPr>
          <w:rFonts w:ascii="Times New Roman" w:hAnsi="Times New Roman" w:cs="Times New Roman"/>
          <w:sz w:val="24"/>
          <w:szCs w:val="24"/>
        </w:rPr>
        <w:t>,</w:t>
      </w:r>
      <w:r w:rsidRPr="00BA7E96">
        <w:rPr>
          <w:rFonts w:ascii="Times New Roman" w:hAnsi="Times New Roman" w:cs="Times New Roman"/>
          <w:sz w:val="24"/>
          <w:szCs w:val="24"/>
        </w:rPr>
        <w:t xml:space="preserve"> nel 201</w:t>
      </w:r>
      <w:r w:rsidR="00CE52A4" w:rsidRPr="00BA7E96">
        <w:rPr>
          <w:rFonts w:ascii="Times New Roman" w:hAnsi="Times New Roman" w:cs="Times New Roman"/>
          <w:sz w:val="24"/>
          <w:szCs w:val="24"/>
        </w:rPr>
        <w:t>5</w:t>
      </w:r>
      <w:r w:rsidR="001142CC" w:rsidRPr="00BA7E96">
        <w:rPr>
          <w:rFonts w:ascii="Times New Roman" w:hAnsi="Times New Roman" w:cs="Times New Roman"/>
          <w:sz w:val="24"/>
          <w:szCs w:val="24"/>
        </w:rPr>
        <w:t>,</w:t>
      </w:r>
      <w:r w:rsidRPr="00BA7E96">
        <w:rPr>
          <w:rFonts w:ascii="Times New Roman" w:hAnsi="Times New Roman" w:cs="Times New Roman"/>
          <w:sz w:val="24"/>
          <w:szCs w:val="24"/>
        </w:rPr>
        <w:t xml:space="preserve"> si riscontra una </w:t>
      </w:r>
      <w:r w:rsidR="009D3BBC">
        <w:rPr>
          <w:rFonts w:ascii="Times New Roman" w:hAnsi="Times New Roman" w:cs="Times New Roman"/>
          <w:sz w:val="24"/>
          <w:szCs w:val="24"/>
        </w:rPr>
        <w:t xml:space="preserve">tasso più </w:t>
      </w:r>
      <w:r w:rsidRPr="00BA7E96">
        <w:rPr>
          <w:rFonts w:ascii="Times New Roman" w:hAnsi="Times New Roman" w:cs="Times New Roman"/>
          <w:sz w:val="24"/>
          <w:szCs w:val="24"/>
        </w:rPr>
        <w:t>elevat</w:t>
      </w:r>
      <w:r w:rsidR="009D3BBC">
        <w:rPr>
          <w:rFonts w:ascii="Times New Roman" w:hAnsi="Times New Roman" w:cs="Times New Roman"/>
          <w:sz w:val="24"/>
          <w:szCs w:val="24"/>
        </w:rPr>
        <w:t>o</w:t>
      </w:r>
      <w:r w:rsidRPr="00BA7E96">
        <w:rPr>
          <w:rFonts w:ascii="Times New Roman" w:hAnsi="Times New Roman" w:cs="Times New Roman"/>
          <w:sz w:val="24"/>
          <w:szCs w:val="24"/>
        </w:rPr>
        <w:t xml:space="preserve">  in </w:t>
      </w:r>
      <w:r w:rsidR="00CE52A4" w:rsidRPr="00BA7E96">
        <w:rPr>
          <w:rFonts w:ascii="Times New Roman" w:hAnsi="Times New Roman" w:cs="Times New Roman"/>
          <w:sz w:val="24"/>
          <w:szCs w:val="24"/>
        </w:rPr>
        <w:t>Valle d’Aosta, Marche, Molise e Umbri</w:t>
      </w:r>
      <w:r w:rsidR="0074216D">
        <w:rPr>
          <w:rFonts w:ascii="Times New Roman" w:hAnsi="Times New Roman" w:cs="Times New Roman"/>
          <w:sz w:val="24"/>
          <w:szCs w:val="24"/>
        </w:rPr>
        <w:t xml:space="preserve">a (tra </w:t>
      </w:r>
      <w:r w:rsidR="00CE52A4" w:rsidRPr="00BA7E96">
        <w:rPr>
          <w:rFonts w:ascii="Times New Roman" w:hAnsi="Times New Roman" w:cs="Times New Roman"/>
          <w:sz w:val="24"/>
          <w:szCs w:val="24"/>
        </w:rPr>
        <w:t>1,</w:t>
      </w:r>
      <w:r w:rsidR="00BA7E96">
        <w:rPr>
          <w:rFonts w:ascii="Times New Roman" w:hAnsi="Times New Roman" w:cs="Times New Roman"/>
          <w:sz w:val="24"/>
          <w:szCs w:val="24"/>
        </w:rPr>
        <w:t>5</w:t>
      </w:r>
      <w:r w:rsidR="0074216D">
        <w:rPr>
          <w:rFonts w:ascii="Times New Roman" w:hAnsi="Times New Roman" w:cs="Times New Roman"/>
          <w:sz w:val="24"/>
          <w:szCs w:val="24"/>
        </w:rPr>
        <w:t>7 e 1,55</w:t>
      </w:r>
      <w:r w:rsidR="00CE52A4" w:rsidRPr="00BA7E96">
        <w:rPr>
          <w:rFonts w:ascii="Times New Roman" w:hAnsi="Times New Roman" w:cs="Times New Roman"/>
          <w:sz w:val="24"/>
          <w:szCs w:val="24"/>
        </w:rPr>
        <w:t xml:space="preserve"> </w:t>
      </w:r>
      <w:r w:rsidRPr="00BA7E96">
        <w:rPr>
          <w:rFonts w:ascii="Times New Roman" w:hAnsi="Times New Roman" w:cs="Times New Roman"/>
          <w:sz w:val="24"/>
          <w:szCs w:val="24"/>
        </w:rPr>
        <w:t>per 100 mila)</w:t>
      </w:r>
      <w:r w:rsidR="009D3BBC">
        <w:rPr>
          <w:rFonts w:ascii="Times New Roman" w:hAnsi="Times New Roman" w:cs="Times New Roman"/>
          <w:sz w:val="24"/>
          <w:szCs w:val="24"/>
        </w:rPr>
        <w:t>, ma anche in Toscana (1,47), Liguria (1,33) e PA di Trento (1,30)</w:t>
      </w:r>
      <w:r w:rsidR="00CE52A4" w:rsidRPr="00BA7E96">
        <w:rPr>
          <w:rFonts w:ascii="Times New Roman" w:hAnsi="Times New Roman" w:cs="Times New Roman"/>
          <w:sz w:val="24"/>
          <w:szCs w:val="24"/>
        </w:rPr>
        <w:t>.</w:t>
      </w:r>
      <w:r w:rsidR="001142CC" w:rsidRPr="00BA7E96">
        <w:rPr>
          <w:rFonts w:ascii="Times New Roman" w:hAnsi="Times New Roman" w:cs="Times New Roman"/>
          <w:sz w:val="24"/>
          <w:szCs w:val="24"/>
        </w:rPr>
        <w:t xml:space="preserve"> Valori molto bassi si registrano, invece, in</w:t>
      </w:r>
      <w:r w:rsidR="00CE52A4" w:rsidRPr="00BA7E96">
        <w:rPr>
          <w:rFonts w:ascii="Times New Roman" w:hAnsi="Times New Roman" w:cs="Times New Roman"/>
          <w:sz w:val="24"/>
          <w:szCs w:val="24"/>
        </w:rPr>
        <w:t xml:space="preserve"> Puglia e Calabria (0,</w:t>
      </w:r>
      <w:r w:rsidR="00BA7E96">
        <w:rPr>
          <w:rFonts w:ascii="Times New Roman" w:hAnsi="Times New Roman" w:cs="Times New Roman"/>
          <w:sz w:val="24"/>
          <w:szCs w:val="24"/>
        </w:rPr>
        <w:t xml:space="preserve">66 e </w:t>
      </w:r>
      <w:r w:rsidR="00BA7E96" w:rsidRPr="00BA7E96">
        <w:rPr>
          <w:rFonts w:ascii="Times New Roman" w:hAnsi="Times New Roman" w:cs="Times New Roman"/>
          <w:sz w:val="24"/>
          <w:szCs w:val="24"/>
        </w:rPr>
        <w:t>0,71</w:t>
      </w:r>
      <w:r w:rsidR="00CE52A4" w:rsidRPr="00BA7E96">
        <w:rPr>
          <w:rFonts w:ascii="Times New Roman" w:hAnsi="Times New Roman" w:cs="Times New Roman"/>
          <w:sz w:val="24"/>
          <w:szCs w:val="24"/>
        </w:rPr>
        <w:t>)</w:t>
      </w:r>
      <w:r w:rsidR="00BA7E96" w:rsidRPr="00BA7E96">
        <w:rPr>
          <w:rFonts w:ascii="Times New Roman" w:hAnsi="Times New Roman" w:cs="Times New Roman"/>
          <w:sz w:val="24"/>
          <w:szCs w:val="24"/>
        </w:rPr>
        <w:t>.</w:t>
      </w:r>
      <w:r w:rsidR="00A44C2C">
        <w:rPr>
          <w:rFonts w:ascii="Times New Roman" w:hAnsi="Times New Roman" w:cs="Times New Roman"/>
          <w:sz w:val="24"/>
          <w:szCs w:val="24"/>
        </w:rPr>
        <w:t xml:space="preserve"> </w:t>
      </w:r>
      <w:r w:rsidRPr="00BA7E96">
        <w:rPr>
          <w:rFonts w:ascii="Times New Roman" w:hAnsi="Times New Roman" w:cs="Times New Roman"/>
          <w:sz w:val="24"/>
          <w:szCs w:val="24"/>
        </w:rPr>
        <w:t>Rispetto al 201</w:t>
      </w:r>
      <w:r w:rsidR="009D3BBC">
        <w:rPr>
          <w:rFonts w:ascii="Times New Roman" w:hAnsi="Times New Roman" w:cs="Times New Roman"/>
          <w:sz w:val="24"/>
          <w:szCs w:val="24"/>
        </w:rPr>
        <w:t>0</w:t>
      </w:r>
      <w:r w:rsidRPr="00BA7E96">
        <w:rPr>
          <w:rFonts w:ascii="Times New Roman" w:hAnsi="Times New Roman" w:cs="Times New Roman"/>
          <w:sz w:val="24"/>
          <w:szCs w:val="24"/>
        </w:rPr>
        <w:t xml:space="preserve"> la mortalità dei </w:t>
      </w:r>
      <w:r w:rsidR="00800734" w:rsidRPr="00BA7E96">
        <w:rPr>
          <w:rFonts w:ascii="Times New Roman" w:hAnsi="Times New Roman" w:cs="Times New Roman"/>
          <w:sz w:val="24"/>
          <w:szCs w:val="24"/>
        </w:rPr>
        <w:t>pedoni</w:t>
      </w:r>
      <w:r w:rsidRPr="00BA7E96">
        <w:rPr>
          <w:rFonts w:ascii="Times New Roman" w:hAnsi="Times New Roman" w:cs="Times New Roman"/>
          <w:sz w:val="24"/>
          <w:szCs w:val="24"/>
        </w:rPr>
        <w:t xml:space="preserve"> è aumentata </w:t>
      </w:r>
      <w:r w:rsidR="00E22409" w:rsidRPr="00BA7E96">
        <w:rPr>
          <w:rFonts w:ascii="Times New Roman" w:hAnsi="Times New Roman" w:cs="Times New Roman"/>
          <w:sz w:val="24"/>
          <w:szCs w:val="24"/>
        </w:rPr>
        <w:t xml:space="preserve">in </w:t>
      </w:r>
      <w:r w:rsidR="009D3BBC">
        <w:rPr>
          <w:rFonts w:ascii="Times New Roman" w:hAnsi="Times New Roman" w:cs="Times New Roman"/>
          <w:sz w:val="24"/>
          <w:szCs w:val="24"/>
        </w:rPr>
        <w:t xml:space="preserve">valle d’Aosta, </w:t>
      </w:r>
      <w:r w:rsidR="009D3BBC" w:rsidRPr="00BA7E96">
        <w:rPr>
          <w:rFonts w:ascii="Times New Roman" w:hAnsi="Times New Roman" w:cs="Times New Roman"/>
          <w:sz w:val="24"/>
          <w:szCs w:val="24"/>
        </w:rPr>
        <w:t>Liguria,</w:t>
      </w:r>
      <w:r w:rsidR="009D3BBC">
        <w:rPr>
          <w:rFonts w:ascii="Times New Roman" w:hAnsi="Times New Roman" w:cs="Times New Roman"/>
          <w:sz w:val="24"/>
          <w:szCs w:val="24"/>
        </w:rPr>
        <w:t xml:space="preserve"> PA di Trento, </w:t>
      </w:r>
      <w:r w:rsidR="00E22409" w:rsidRPr="00BA7E96">
        <w:rPr>
          <w:rFonts w:ascii="Times New Roman" w:hAnsi="Times New Roman" w:cs="Times New Roman"/>
          <w:sz w:val="24"/>
          <w:szCs w:val="24"/>
        </w:rPr>
        <w:t xml:space="preserve">Umbria, </w:t>
      </w:r>
      <w:r w:rsidR="009D3BBC">
        <w:rPr>
          <w:rFonts w:ascii="Times New Roman" w:hAnsi="Times New Roman" w:cs="Times New Roman"/>
          <w:sz w:val="24"/>
          <w:szCs w:val="24"/>
        </w:rPr>
        <w:t xml:space="preserve">Marche, </w:t>
      </w:r>
      <w:r w:rsidR="00E22409" w:rsidRPr="00BA7E96">
        <w:rPr>
          <w:rFonts w:ascii="Times New Roman" w:hAnsi="Times New Roman" w:cs="Times New Roman"/>
          <w:sz w:val="24"/>
          <w:szCs w:val="24"/>
        </w:rPr>
        <w:t>Lazio</w:t>
      </w:r>
      <w:r w:rsidR="00DA2279" w:rsidRPr="00BA7E96">
        <w:rPr>
          <w:rFonts w:ascii="Times New Roman" w:hAnsi="Times New Roman" w:cs="Times New Roman"/>
          <w:sz w:val="24"/>
          <w:szCs w:val="24"/>
        </w:rPr>
        <w:t>,</w:t>
      </w:r>
      <w:r w:rsidR="009D3BBC">
        <w:rPr>
          <w:rFonts w:ascii="Times New Roman" w:hAnsi="Times New Roman" w:cs="Times New Roman"/>
          <w:sz w:val="24"/>
          <w:szCs w:val="24"/>
        </w:rPr>
        <w:t xml:space="preserve"> Abruzzo, Molise,</w:t>
      </w:r>
      <w:r w:rsidR="00E22409" w:rsidRPr="00BA7E96">
        <w:rPr>
          <w:rFonts w:ascii="Times New Roman" w:hAnsi="Times New Roman" w:cs="Times New Roman"/>
          <w:sz w:val="24"/>
          <w:szCs w:val="24"/>
        </w:rPr>
        <w:t xml:space="preserve"> Campania</w:t>
      </w:r>
      <w:r w:rsidR="009D3BBC">
        <w:rPr>
          <w:rFonts w:ascii="Times New Roman" w:hAnsi="Times New Roman" w:cs="Times New Roman"/>
          <w:sz w:val="24"/>
          <w:szCs w:val="24"/>
        </w:rPr>
        <w:t xml:space="preserve">, Basilicata </w:t>
      </w:r>
      <w:r w:rsidR="00DA2279" w:rsidRPr="00BA7E96">
        <w:rPr>
          <w:rFonts w:ascii="Times New Roman" w:hAnsi="Times New Roman" w:cs="Times New Roman"/>
          <w:sz w:val="24"/>
          <w:szCs w:val="24"/>
        </w:rPr>
        <w:t>e Sardegna</w:t>
      </w:r>
      <w:r w:rsidR="00E22409" w:rsidRPr="00BA7E96">
        <w:rPr>
          <w:rFonts w:ascii="Times New Roman" w:hAnsi="Times New Roman" w:cs="Times New Roman"/>
          <w:sz w:val="24"/>
          <w:szCs w:val="24"/>
        </w:rPr>
        <w:t>.</w:t>
      </w:r>
    </w:p>
    <w:p w:rsidR="00201E5E" w:rsidRDefault="00201E5E" w:rsidP="00E95BA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0046" w:rsidRDefault="00280692" w:rsidP="00E95BA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="00286201">
        <w:rPr>
          <w:rFonts w:ascii="Times New Roman" w:hAnsi="Times New Roman" w:cs="Times New Roman"/>
          <w:b/>
          <w:sz w:val="24"/>
          <w:szCs w:val="24"/>
        </w:rPr>
        <w:t>ig. 5</w:t>
      </w:r>
      <w:r w:rsidR="008B13A2" w:rsidRPr="00FD63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5BA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B13A2">
        <w:rPr>
          <w:rFonts w:ascii="Times New Roman" w:hAnsi="Times New Roman" w:cs="Times New Roman"/>
          <w:b/>
          <w:sz w:val="24"/>
          <w:szCs w:val="24"/>
        </w:rPr>
        <w:t>Tassi di mortalità dei pedoni</w:t>
      </w:r>
      <w:r w:rsidR="008B13A2" w:rsidRPr="00FD6383">
        <w:rPr>
          <w:rFonts w:ascii="Times New Roman" w:hAnsi="Times New Roman" w:cs="Times New Roman"/>
          <w:b/>
          <w:sz w:val="24"/>
          <w:szCs w:val="24"/>
        </w:rPr>
        <w:t xml:space="preserve"> in incidenti stradali</w:t>
      </w:r>
      <w:r w:rsidR="00784E86">
        <w:rPr>
          <w:rFonts w:ascii="Times New Roman" w:hAnsi="Times New Roman" w:cs="Times New Roman"/>
          <w:b/>
          <w:sz w:val="24"/>
          <w:szCs w:val="24"/>
        </w:rPr>
        <w:t xml:space="preserve"> per R</w:t>
      </w:r>
      <w:r w:rsidR="008B13A2">
        <w:rPr>
          <w:rFonts w:ascii="Times New Roman" w:hAnsi="Times New Roman" w:cs="Times New Roman"/>
          <w:b/>
          <w:sz w:val="24"/>
          <w:szCs w:val="24"/>
        </w:rPr>
        <w:t xml:space="preserve">egione. Anni 2010 e </w:t>
      </w:r>
      <w:r w:rsidR="00DE4935">
        <w:rPr>
          <w:rFonts w:ascii="Times New Roman" w:hAnsi="Times New Roman" w:cs="Times New Roman"/>
          <w:b/>
          <w:sz w:val="24"/>
          <w:szCs w:val="24"/>
        </w:rPr>
        <w:t>2015</w:t>
      </w:r>
      <w:r w:rsidR="008B13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0DED" w:rsidRPr="00D50046" w:rsidRDefault="008B13A2" w:rsidP="00E95BA6">
      <w:pPr>
        <w:spacing w:after="0" w:line="240" w:lineRule="auto"/>
        <w:ind w:left="709" w:hanging="709"/>
        <w:jc w:val="both"/>
        <w:rPr>
          <w:i/>
          <w:noProof/>
          <w:lang w:eastAsia="it-IT"/>
        </w:rPr>
      </w:pPr>
      <w:r w:rsidRPr="00D50046">
        <w:rPr>
          <w:rFonts w:ascii="Times New Roman" w:hAnsi="Times New Roman" w:cs="Times New Roman"/>
          <w:i/>
          <w:sz w:val="24"/>
          <w:szCs w:val="24"/>
        </w:rPr>
        <w:t xml:space="preserve">(per </w:t>
      </w:r>
      <w:r w:rsidR="00E95BA6" w:rsidRPr="00D500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0046">
        <w:rPr>
          <w:rFonts w:ascii="Times New Roman" w:hAnsi="Times New Roman" w:cs="Times New Roman"/>
          <w:i/>
          <w:sz w:val="24"/>
          <w:szCs w:val="24"/>
        </w:rPr>
        <w:t>100.000 abitanti)</w:t>
      </w:r>
      <w:r w:rsidR="00DF0DED" w:rsidRPr="00D50046">
        <w:rPr>
          <w:i/>
          <w:noProof/>
          <w:lang w:eastAsia="it-IT"/>
        </w:rPr>
        <w:t xml:space="preserve"> </w:t>
      </w:r>
    </w:p>
    <w:p w:rsidR="00435823" w:rsidRPr="00A44C2C" w:rsidRDefault="0074216D" w:rsidP="003807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27A76151" wp14:editId="3C7657BD">
            <wp:extent cx="6122504" cy="2107096"/>
            <wp:effectExtent l="0" t="0" r="0" b="0"/>
            <wp:docPr id="12" name="Gra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435823" w:rsidRPr="0002767C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="00435823" w:rsidRPr="0002767C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F61F9B" w:rsidRPr="00305AB6" w:rsidRDefault="00F61F9B" w:rsidP="00F61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AB6">
        <w:rPr>
          <w:rFonts w:ascii="Times New Roman" w:hAnsi="Times New Roman" w:cs="Times New Roman"/>
          <w:sz w:val="24"/>
          <w:szCs w:val="24"/>
        </w:rPr>
        <w:lastRenderedPageBreak/>
        <w:t>Sono stati 2</w:t>
      </w:r>
      <w:r w:rsidR="00B97317" w:rsidRPr="00305AB6">
        <w:rPr>
          <w:rFonts w:ascii="Times New Roman" w:hAnsi="Times New Roman" w:cs="Times New Roman"/>
          <w:sz w:val="24"/>
          <w:szCs w:val="24"/>
        </w:rPr>
        <w:t>51</w:t>
      </w:r>
      <w:r w:rsidRPr="00305AB6">
        <w:rPr>
          <w:rFonts w:ascii="Times New Roman" w:hAnsi="Times New Roman" w:cs="Times New Roman"/>
          <w:sz w:val="24"/>
          <w:szCs w:val="24"/>
        </w:rPr>
        <w:t xml:space="preserve"> i </w:t>
      </w:r>
      <w:r w:rsidRPr="00CF420E">
        <w:rPr>
          <w:rFonts w:ascii="Times New Roman" w:hAnsi="Times New Roman" w:cs="Times New Roman"/>
          <w:b/>
          <w:i/>
          <w:sz w:val="24"/>
          <w:szCs w:val="24"/>
        </w:rPr>
        <w:t>ciclisti</w:t>
      </w:r>
      <w:r w:rsidRPr="00CF42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AB6">
        <w:rPr>
          <w:rFonts w:ascii="Times New Roman" w:hAnsi="Times New Roman" w:cs="Times New Roman"/>
          <w:sz w:val="24"/>
          <w:szCs w:val="24"/>
        </w:rPr>
        <w:t>rimasti vittime di incidenti stradali nel 201</w:t>
      </w:r>
      <w:r w:rsidR="00B97317" w:rsidRPr="00305AB6">
        <w:rPr>
          <w:rFonts w:ascii="Times New Roman" w:hAnsi="Times New Roman" w:cs="Times New Roman"/>
          <w:sz w:val="24"/>
          <w:szCs w:val="24"/>
        </w:rPr>
        <w:t>5</w:t>
      </w:r>
      <w:r w:rsidRPr="00305AB6">
        <w:rPr>
          <w:rFonts w:ascii="Times New Roman" w:hAnsi="Times New Roman" w:cs="Times New Roman"/>
          <w:sz w:val="24"/>
          <w:szCs w:val="24"/>
        </w:rPr>
        <w:t xml:space="preserve"> in Italia (2</w:t>
      </w:r>
      <w:r w:rsidR="00305AB6" w:rsidRPr="00305AB6">
        <w:rPr>
          <w:rFonts w:ascii="Times New Roman" w:hAnsi="Times New Roman" w:cs="Times New Roman"/>
          <w:sz w:val="24"/>
          <w:szCs w:val="24"/>
        </w:rPr>
        <w:t>16</w:t>
      </w:r>
      <w:r w:rsidRPr="00305AB6">
        <w:rPr>
          <w:rFonts w:ascii="Times New Roman" w:hAnsi="Times New Roman" w:cs="Times New Roman"/>
          <w:sz w:val="24"/>
          <w:szCs w:val="24"/>
        </w:rPr>
        <w:t xml:space="preserve"> maschi e </w:t>
      </w:r>
      <w:r w:rsidR="00305AB6" w:rsidRPr="00305AB6">
        <w:rPr>
          <w:rFonts w:ascii="Times New Roman" w:hAnsi="Times New Roman" w:cs="Times New Roman"/>
          <w:sz w:val="24"/>
          <w:szCs w:val="24"/>
        </w:rPr>
        <w:t>35</w:t>
      </w:r>
      <w:r w:rsidRPr="00305AB6">
        <w:rPr>
          <w:rFonts w:ascii="Times New Roman" w:hAnsi="Times New Roman" w:cs="Times New Roman"/>
          <w:sz w:val="24"/>
          <w:szCs w:val="24"/>
        </w:rPr>
        <w:t xml:space="preserve"> femmine) e 16.</w:t>
      </w:r>
      <w:r w:rsidR="00305AB6" w:rsidRPr="00305AB6">
        <w:rPr>
          <w:rFonts w:ascii="Times New Roman" w:hAnsi="Times New Roman" w:cs="Times New Roman"/>
          <w:sz w:val="24"/>
          <w:szCs w:val="24"/>
        </w:rPr>
        <w:t xml:space="preserve">454 </w:t>
      </w:r>
      <w:r w:rsidRPr="00305AB6">
        <w:rPr>
          <w:rFonts w:ascii="Times New Roman" w:hAnsi="Times New Roman" w:cs="Times New Roman"/>
          <w:sz w:val="24"/>
          <w:szCs w:val="24"/>
        </w:rPr>
        <w:t>i feriti (11.</w:t>
      </w:r>
      <w:r w:rsidR="00305AB6" w:rsidRPr="00305AB6">
        <w:rPr>
          <w:rFonts w:ascii="Times New Roman" w:hAnsi="Times New Roman" w:cs="Times New Roman"/>
          <w:sz w:val="24"/>
          <w:szCs w:val="24"/>
        </w:rPr>
        <w:t>406</w:t>
      </w:r>
      <w:r w:rsidRPr="00305AB6">
        <w:rPr>
          <w:rFonts w:ascii="Times New Roman" w:hAnsi="Times New Roman" w:cs="Times New Roman"/>
          <w:sz w:val="24"/>
          <w:szCs w:val="24"/>
        </w:rPr>
        <w:t xml:space="preserve"> maschi e 5.</w:t>
      </w:r>
      <w:r w:rsidR="00305AB6" w:rsidRPr="00305AB6">
        <w:rPr>
          <w:rFonts w:ascii="Times New Roman" w:hAnsi="Times New Roman" w:cs="Times New Roman"/>
          <w:sz w:val="24"/>
          <w:szCs w:val="24"/>
        </w:rPr>
        <w:t>048</w:t>
      </w:r>
      <w:r w:rsidRPr="00305AB6">
        <w:rPr>
          <w:rFonts w:ascii="Times New Roman" w:hAnsi="Times New Roman" w:cs="Times New Roman"/>
          <w:sz w:val="24"/>
          <w:szCs w:val="24"/>
        </w:rPr>
        <w:t xml:space="preserve"> femmine) per un totale di 1</w:t>
      </w:r>
      <w:r w:rsidR="00305AB6">
        <w:rPr>
          <w:rFonts w:ascii="Times New Roman" w:hAnsi="Times New Roman" w:cs="Times New Roman"/>
          <w:sz w:val="24"/>
          <w:szCs w:val="24"/>
        </w:rPr>
        <w:t>7</w:t>
      </w:r>
      <w:r w:rsidRPr="00305AB6">
        <w:rPr>
          <w:rFonts w:ascii="Times New Roman" w:hAnsi="Times New Roman" w:cs="Times New Roman"/>
          <w:sz w:val="24"/>
          <w:szCs w:val="24"/>
        </w:rPr>
        <w:t>.</w:t>
      </w:r>
      <w:r w:rsidR="00305AB6">
        <w:rPr>
          <w:rFonts w:ascii="Times New Roman" w:hAnsi="Times New Roman" w:cs="Times New Roman"/>
          <w:sz w:val="24"/>
          <w:szCs w:val="24"/>
        </w:rPr>
        <w:t>437</w:t>
      </w:r>
      <w:r w:rsidRPr="00305AB6">
        <w:rPr>
          <w:rFonts w:ascii="Times New Roman" w:hAnsi="Times New Roman" w:cs="Times New Roman"/>
          <w:sz w:val="24"/>
          <w:szCs w:val="24"/>
        </w:rPr>
        <w:t xml:space="preserve"> biciclette coinvolte in incidenti stradal</w:t>
      </w:r>
      <w:r w:rsidR="00305AB6">
        <w:rPr>
          <w:rFonts w:ascii="Times New Roman" w:hAnsi="Times New Roman" w:cs="Times New Roman"/>
          <w:sz w:val="24"/>
          <w:szCs w:val="24"/>
        </w:rPr>
        <w:t>i con lesioni a persone nel 2015</w:t>
      </w:r>
      <w:r w:rsidRPr="00305AB6">
        <w:rPr>
          <w:rFonts w:ascii="Times New Roman" w:hAnsi="Times New Roman" w:cs="Times New Roman"/>
          <w:sz w:val="24"/>
          <w:szCs w:val="24"/>
        </w:rPr>
        <w:t xml:space="preserve">, in lieve </w:t>
      </w:r>
      <w:r w:rsidR="00305AB6">
        <w:rPr>
          <w:rFonts w:ascii="Times New Roman" w:hAnsi="Times New Roman" w:cs="Times New Roman"/>
          <w:sz w:val="24"/>
          <w:szCs w:val="24"/>
        </w:rPr>
        <w:t>diminuzione</w:t>
      </w:r>
      <w:r w:rsidRPr="00305AB6">
        <w:rPr>
          <w:rFonts w:ascii="Times New Roman" w:hAnsi="Times New Roman" w:cs="Times New Roman"/>
          <w:sz w:val="24"/>
          <w:szCs w:val="24"/>
        </w:rPr>
        <w:t xml:space="preserve"> r</w:t>
      </w:r>
      <w:r w:rsidR="00305AB6">
        <w:rPr>
          <w:rFonts w:ascii="Times New Roman" w:hAnsi="Times New Roman" w:cs="Times New Roman"/>
          <w:sz w:val="24"/>
          <w:szCs w:val="24"/>
        </w:rPr>
        <w:t>ispetto al 2014</w:t>
      </w:r>
      <w:r w:rsidRPr="00305A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5AB6" w:rsidRDefault="009B12C2" w:rsidP="00F61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Sebbene il 2015 faccia registrare </w:t>
      </w:r>
      <w:r w:rsidR="00BE703D">
        <w:rPr>
          <w:rFonts w:ascii="Times New Roman" w:hAnsi="Times New Roman" w:cs="Times New Roman"/>
          <w:sz w:val="24"/>
          <w:szCs w:val="24"/>
        </w:rPr>
        <w:t>lievi</w:t>
      </w:r>
      <w:r>
        <w:rPr>
          <w:rFonts w:ascii="Times New Roman" w:hAnsi="Times New Roman" w:cs="Times New Roman"/>
          <w:sz w:val="24"/>
          <w:szCs w:val="24"/>
        </w:rPr>
        <w:t xml:space="preserve"> mig</w:t>
      </w:r>
      <w:r w:rsidR="00BE703D">
        <w:rPr>
          <w:rFonts w:ascii="Times New Roman" w:hAnsi="Times New Roman" w:cs="Times New Roman"/>
          <w:sz w:val="24"/>
          <w:szCs w:val="24"/>
        </w:rPr>
        <w:t xml:space="preserve">lioramenti per quanto riguarda la lesività e mortalità dei </w:t>
      </w:r>
      <w:r>
        <w:rPr>
          <w:rFonts w:ascii="Times New Roman" w:hAnsi="Times New Roman" w:cs="Times New Roman"/>
          <w:sz w:val="24"/>
          <w:szCs w:val="24"/>
        </w:rPr>
        <w:t>ciclisti</w:t>
      </w:r>
      <w:r w:rsidR="00BE703D">
        <w:rPr>
          <w:rFonts w:ascii="Times New Roman" w:hAnsi="Times New Roman" w:cs="Times New Roman"/>
          <w:sz w:val="24"/>
          <w:szCs w:val="24"/>
        </w:rPr>
        <w:t xml:space="preserve"> in incidenti stradali</w:t>
      </w:r>
      <w:r>
        <w:rPr>
          <w:rFonts w:ascii="Times New Roman" w:hAnsi="Times New Roman" w:cs="Times New Roman"/>
          <w:sz w:val="24"/>
          <w:szCs w:val="24"/>
        </w:rPr>
        <w:t>, l</w:t>
      </w:r>
      <w:r w:rsidR="00F61F9B" w:rsidRPr="00305AB6">
        <w:rPr>
          <w:rFonts w:ascii="Times New Roman" w:hAnsi="Times New Roman" w:cs="Times New Roman"/>
          <w:sz w:val="24"/>
          <w:szCs w:val="24"/>
        </w:rPr>
        <w:t>e biciclette continuano a mantenere, anche nel 201</w:t>
      </w:r>
      <w:r w:rsidR="00305AB6" w:rsidRPr="00305AB6">
        <w:rPr>
          <w:rFonts w:ascii="Times New Roman" w:hAnsi="Times New Roman" w:cs="Times New Roman"/>
          <w:sz w:val="24"/>
          <w:szCs w:val="24"/>
        </w:rPr>
        <w:t>5</w:t>
      </w:r>
      <w:r w:rsidR="00F61F9B" w:rsidRPr="00305AB6">
        <w:rPr>
          <w:rFonts w:ascii="Times New Roman" w:hAnsi="Times New Roman" w:cs="Times New Roman"/>
          <w:sz w:val="24"/>
          <w:szCs w:val="24"/>
        </w:rPr>
        <w:t xml:space="preserve">, la </w:t>
      </w:r>
      <w:r w:rsidR="00305AB6" w:rsidRPr="00305AB6">
        <w:rPr>
          <w:rFonts w:ascii="Times New Roman" w:hAnsi="Times New Roman" w:cs="Times New Roman"/>
          <w:sz w:val="24"/>
          <w:szCs w:val="24"/>
        </w:rPr>
        <w:t xml:space="preserve">terza posizione in graduatoria tra i veicoli, </w:t>
      </w:r>
      <w:r w:rsidR="00F61F9B" w:rsidRPr="00305AB6">
        <w:rPr>
          <w:rFonts w:ascii="Times New Roman" w:hAnsi="Times New Roman" w:cs="Times New Roman"/>
          <w:sz w:val="24"/>
          <w:szCs w:val="24"/>
        </w:rPr>
        <w:t xml:space="preserve">dietro autovetture e motocicli, per numero di vittime. Se si considerano poi i soli utenti vulnerabili, escludendo i pedoni, i ciclisti rappresentano la categoria più a rischio dopo i motociclisti. </w:t>
      </w:r>
    </w:p>
    <w:p w:rsidR="00F61F9B" w:rsidRPr="00885C8C" w:rsidRDefault="00F61F9B" w:rsidP="00F61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C8C">
        <w:rPr>
          <w:rFonts w:ascii="Times New Roman" w:hAnsi="Times New Roman" w:cs="Times New Roman"/>
          <w:sz w:val="24"/>
          <w:szCs w:val="24"/>
        </w:rPr>
        <w:t xml:space="preserve">I ciclisti deceduti, di entrambi i generi, sono </w:t>
      </w:r>
      <w:r w:rsidR="00885C8C" w:rsidRPr="00885C8C">
        <w:rPr>
          <w:rFonts w:ascii="Times New Roman" w:hAnsi="Times New Roman" w:cs="Times New Roman"/>
          <w:sz w:val="24"/>
          <w:szCs w:val="24"/>
        </w:rPr>
        <w:t>molto</w:t>
      </w:r>
      <w:r w:rsidRPr="00885C8C">
        <w:rPr>
          <w:rFonts w:ascii="Times New Roman" w:hAnsi="Times New Roman" w:cs="Times New Roman"/>
          <w:sz w:val="24"/>
          <w:szCs w:val="24"/>
        </w:rPr>
        <w:t xml:space="preserve"> numerosi tra </w:t>
      </w:r>
      <w:r w:rsidR="00885C8C" w:rsidRPr="00885C8C">
        <w:rPr>
          <w:rFonts w:ascii="Times New Roman" w:hAnsi="Times New Roman" w:cs="Times New Roman"/>
          <w:sz w:val="24"/>
          <w:szCs w:val="24"/>
        </w:rPr>
        <w:t>gli ultrasettantacinquenni</w:t>
      </w:r>
      <w:r w:rsidRPr="00885C8C">
        <w:rPr>
          <w:rFonts w:ascii="Times New Roman" w:hAnsi="Times New Roman" w:cs="Times New Roman"/>
          <w:sz w:val="24"/>
          <w:szCs w:val="24"/>
        </w:rPr>
        <w:t xml:space="preserve"> (</w:t>
      </w:r>
      <w:r w:rsidR="00885C8C" w:rsidRPr="00885C8C">
        <w:rPr>
          <w:rFonts w:ascii="Times New Roman" w:hAnsi="Times New Roman" w:cs="Times New Roman"/>
          <w:sz w:val="24"/>
          <w:szCs w:val="24"/>
        </w:rPr>
        <w:t>35</w:t>
      </w:r>
      <w:r w:rsidRPr="00885C8C">
        <w:rPr>
          <w:rFonts w:ascii="Times New Roman" w:hAnsi="Times New Roman" w:cs="Times New Roman"/>
          <w:sz w:val="24"/>
          <w:szCs w:val="24"/>
        </w:rPr>
        <w:t>% del totale</w:t>
      </w:r>
      <w:r w:rsidR="00885C8C">
        <w:rPr>
          <w:rFonts w:ascii="Times New Roman" w:hAnsi="Times New Roman" w:cs="Times New Roman"/>
          <w:sz w:val="24"/>
          <w:szCs w:val="24"/>
        </w:rPr>
        <w:t>); t</w:t>
      </w:r>
      <w:r w:rsidRPr="00885C8C">
        <w:rPr>
          <w:rFonts w:ascii="Times New Roman" w:hAnsi="Times New Roman" w:cs="Times New Roman"/>
          <w:sz w:val="24"/>
          <w:szCs w:val="24"/>
        </w:rPr>
        <w:t>ra i feriti, invece, le percentuali più elevate si registrano per le età comprese tra 35 e 54 anni (circa il 33% del totale). Un numero significativo di vittime e feriti si registra anch</w:t>
      </w:r>
      <w:r w:rsidR="00885C8C">
        <w:rPr>
          <w:rFonts w:ascii="Times New Roman" w:hAnsi="Times New Roman" w:cs="Times New Roman"/>
          <w:sz w:val="24"/>
          <w:szCs w:val="24"/>
        </w:rPr>
        <w:t>e tra i bambini di 10-14 anni (4</w:t>
      </w:r>
      <w:r w:rsidRPr="00885C8C">
        <w:rPr>
          <w:rFonts w:ascii="Times New Roman" w:hAnsi="Times New Roman" w:cs="Times New Roman"/>
          <w:sz w:val="24"/>
          <w:szCs w:val="24"/>
        </w:rPr>
        <w:t xml:space="preserve"> morti e </w:t>
      </w:r>
      <w:r w:rsidR="00885C8C">
        <w:rPr>
          <w:rFonts w:ascii="Times New Roman" w:hAnsi="Times New Roman" w:cs="Times New Roman"/>
          <w:sz w:val="24"/>
          <w:szCs w:val="24"/>
        </w:rPr>
        <w:t xml:space="preserve">724 </w:t>
      </w:r>
      <w:r w:rsidRPr="00885C8C">
        <w:rPr>
          <w:rFonts w:ascii="Times New Roman" w:hAnsi="Times New Roman" w:cs="Times New Roman"/>
          <w:sz w:val="24"/>
          <w:szCs w:val="24"/>
        </w:rPr>
        <w:t>f</w:t>
      </w:r>
      <w:r w:rsidR="00885C8C">
        <w:rPr>
          <w:rFonts w:ascii="Times New Roman" w:hAnsi="Times New Roman" w:cs="Times New Roman"/>
          <w:sz w:val="24"/>
          <w:szCs w:val="24"/>
        </w:rPr>
        <w:t>eriti), e i giovani 15-19enni (11</w:t>
      </w:r>
      <w:r w:rsidRPr="00885C8C">
        <w:rPr>
          <w:rFonts w:ascii="Times New Roman" w:hAnsi="Times New Roman" w:cs="Times New Roman"/>
          <w:sz w:val="24"/>
          <w:szCs w:val="24"/>
        </w:rPr>
        <w:t xml:space="preserve"> morti e 1.</w:t>
      </w:r>
      <w:r w:rsidR="00885C8C">
        <w:rPr>
          <w:rFonts w:ascii="Times New Roman" w:hAnsi="Times New Roman" w:cs="Times New Roman"/>
          <w:sz w:val="24"/>
          <w:szCs w:val="24"/>
        </w:rPr>
        <w:t>043</w:t>
      </w:r>
      <w:r w:rsidRPr="00885C8C">
        <w:rPr>
          <w:rFonts w:ascii="Times New Roman" w:hAnsi="Times New Roman" w:cs="Times New Roman"/>
          <w:sz w:val="24"/>
          <w:szCs w:val="24"/>
        </w:rPr>
        <w:t xml:space="preserve"> feriti).</w:t>
      </w:r>
    </w:p>
    <w:p w:rsidR="00F61F9B" w:rsidRPr="00305AB6" w:rsidRDefault="00F61F9B" w:rsidP="00F61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AB6">
        <w:rPr>
          <w:rFonts w:ascii="Times New Roman" w:hAnsi="Times New Roman" w:cs="Times New Roman"/>
          <w:sz w:val="24"/>
          <w:szCs w:val="24"/>
        </w:rPr>
        <w:t xml:space="preserve">La tabella </w:t>
      </w:r>
      <w:r w:rsidR="00CF420E">
        <w:rPr>
          <w:rFonts w:ascii="Times New Roman" w:hAnsi="Times New Roman" w:cs="Times New Roman"/>
          <w:sz w:val="24"/>
          <w:szCs w:val="24"/>
        </w:rPr>
        <w:t>7</w:t>
      </w:r>
      <w:r w:rsidR="00305AB6" w:rsidRPr="00305AB6">
        <w:rPr>
          <w:rFonts w:ascii="Times New Roman" w:hAnsi="Times New Roman" w:cs="Times New Roman"/>
          <w:sz w:val="24"/>
          <w:szCs w:val="24"/>
        </w:rPr>
        <w:t xml:space="preserve"> </w:t>
      </w:r>
      <w:r w:rsidRPr="00305AB6">
        <w:rPr>
          <w:rFonts w:ascii="Times New Roman" w:hAnsi="Times New Roman" w:cs="Times New Roman"/>
          <w:sz w:val="24"/>
          <w:szCs w:val="24"/>
        </w:rPr>
        <w:t>presenta la distribuzione del numero dei ciclisti vittime di incident</w:t>
      </w:r>
      <w:r w:rsidR="00305AB6" w:rsidRPr="00305AB6">
        <w:rPr>
          <w:rFonts w:ascii="Times New Roman" w:hAnsi="Times New Roman" w:cs="Times New Roman"/>
          <w:sz w:val="24"/>
          <w:szCs w:val="24"/>
        </w:rPr>
        <w:t>i stradali  a livello regionale nel complesso e per il</w:t>
      </w:r>
      <w:r w:rsidRPr="00305AB6">
        <w:rPr>
          <w:rFonts w:ascii="Times New Roman" w:hAnsi="Times New Roman" w:cs="Times New Roman"/>
          <w:sz w:val="24"/>
          <w:szCs w:val="24"/>
        </w:rPr>
        <w:t xml:space="preserve"> solo ambito urbano.</w:t>
      </w:r>
    </w:p>
    <w:p w:rsidR="00F61F9B" w:rsidRPr="00305AB6" w:rsidRDefault="00F61F9B" w:rsidP="00F61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AB6">
        <w:rPr>
          <w:rFonts w:ascii="Times New Roman" w:hAnsi="Times New Roman" w:cs="Times New Roman"/>
          <w:sz w:val="24"/>
          <w:szCs w:val="24"/>
        </w:rPr>
        <w:t xml:space="preserve">Le numerosità più elevate si registrano in Lombardia, Veneto, </w:t>
      </w:r>
      <w:r w:rsidR="00155DC7" w:rsidRPr="00305AB6">
        <w:rPr>
          <w:rFonts w:ascii="Times New Roman" w:hAnsi="Times New Roman" w:cs="Times New Roman"/>
          <w:sz w:val="24"/>
          <w:szCs w:val="24"/>
        </w:rPr>
        <w:t>Emilia Romagna</w:t>
      </w:r>
      <w:r w:rsidR="00155DC7">
        <w:rPr>
          <w:rFonts w:ascii="Times New Roman" w:hAnsi="Times New Roman" w:cs="Times New Roman"/>
          <w:sz w:val="24"/>
          <w:szCs w:val="24"/>
        </w:rPr>
        <w:t xml:space="preserve"> e </w:t>
      </w:r>
      <w:r w:rsidRPr="00305AB6">
        <w:rPr>
          <w:rFonts w:ascii="Times New Roman" w:hAnsi="Times New Roman" w:cs="Times New Roman"/>
          <w:sz w:val="24"/>
          <w:szCs w:val="24"/>
        </w:rPr>
        <w:t xml:space="preserve">Toscana. </w:t>
      </w:r>
      <w:r w:rsidR="00305AB6" w:rsidRPr="00305AB6">
        <w:rPr>
          <w:rFonts w:ascii="Times New Roman" w:hAnsi="Times New Roman" w:cs="Times New Roman"/>
          <w:sz w:val="24"/>
          <w:szCs w:val="24"/>
        </w:rPr>
        <w:t xml:space="preserve"> </w:t>
      </w:r>
      <w:r w:rsidRPr="00305AB6">
        <w:rPr>
          <w:rFonts w:ascii="Times New Roman" w:hAnsi="Times New Roman" w:cs="Times New Roman"/>
          <w:sz w:val="24"/>
          <w:szCs w:val="24"/>
        </w:rPr>
        <w:t xml:space="preserve">Una misura relativa dell’intensità del fenomeno, rapportata alla dimensione demografica delle regioni, è data, comunque, dai tassi di mortalità riportati in figura </w:t>
      </w:r>
      <w:r w:rsidR="00CF420E">
        <w:rPr>
          <w:rFonts w:ascii="Times New Roman" w:hAnsi="Times New Roman" w:cs="Times New Roman"/>
          <w:sz w:val="24"/>
          <w:szCs w:val="24"/>
        </w:rPr>
        <w:t>6</w:t>
      </w:r>
      <w:r w:rsidRPr="00305AB6">
        <w:rPr>
          <w:rFonts w:ascii="Times New Roman" w:hAnsi="Times New Roman" w:cs="Times New Roman"/>
          <w:sz w:val="24"/>
          <w:szCs w:val="24"/>
        </w:rPr>
        <w:t>.</w:t>
      </w:r>
    </w:p>
    <w:p w:rsidR="00F61F9B" w:rsidRDefault="00F61F9B" w:rsidP="0038079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61F9B" w:rsidRPr="004E417C" w:rsidRDefault="00F61F9B" w:rsidP="00F61F9B">
      <w:pPr>
        <w:spacing w:after="0" w:line="240" w:lineRule="auto"/>
        <w:jc w:val="both"/>
        <w:rPr>
          <w:rFonts w:ascii="Times New Roman" w:hAnsi="Times New Roman" w:cs="Times New Roman"/>
          <w:i/>
          <w:spacing w:val="-12"/>
          <w:sz w:val="24"/>
          <w:szCs w:val="24"/>
        </w:rPr>
      </w:pPr>
      <w:r w:rsidRPr="008F364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Tab. </w:t>
      </w:r>
      <w:r w:rsidR="0048685F">
        <w:rPr>
          <w:rFonts w:ascii="Times New Roman" w:hAnsi="Times New Roman" w:cs="Times New Roman"/>
          <w:b/>
          <w:spacing w:val="-12"/>
          <w:sz w:val="24"/>
          <w:szCs w:val="24"/>
        </w:rPr>
        <w:t>7</w:t>
      </w:r>
      <w:r w:rsidRPr="008F364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- Ciclisti morti in incidenti stradali per Regione di evento nel complesso e in amb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>i</w:t>
      </w:r>
      <w:r w:rsidRPr="008F364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to urbano. Anni 2001, 2010-2014 </w:t>
      </w:r>
      <w:r w:rsidRPr="004E417C">
        <w:rPr>
          <w:rFonts w:ascii="Times New Roman" w:hAnsi="Times New Roman" w:cs="Times New Roman"/>
          <w:i/>
          <w:spacing w:val="-12"/>
          <w:sz w:val="24"/>
          <w:szCs w:val="24"/>
        </w:rPr>
        <w:t>(valori assoluti)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3"/>
        <w:gridCol w:w="534"/>
        <w:gridCol w:w="535"/>
        <w:gridCol w:w="534"/>
        <w:gridCol w:w="535"/>
        <w:gridCol w:w="534"/>
        <w:gridCol w:w="535"/>
        <w:gridCol w:w="534"/>
        <w:gridCol w:w="535"/>
        <w:gridCol w:w="534"/>
        <w:gridCol w:w="535"/>
        <w:gridCol w:w="534"/>
        <w:gridCol w:w="535"/>
        <w:gridCol w:w="534"/>
        <w:gridCol w:w="535"/>
      </w:tblGrid>
      <w:tr w:rsidR="00F61F9B" w:rsidRPr="008F364D" w:rsidTr="00CD7538">
        <w:trPr>
          <w:trHeight w:hRule="exact" w:val="284"/>
        </w:trPr>
        <w:tc>
          <w:tcPr>
            <w:tcW w:w="231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61F9B" w:rsidRPr="008F364D" w:rsidRDefault="00F61F9B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Regioni</w:t>
            </w:r>
          </w:p>
        </w:tc>
        <w:tc>
          <w:tcPr>
            <w:tcW w:w="374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F9B" w:rsidRPr="008F364D" w:rsidRDefault="00CD7538" w:rsidP="0063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Totale </w:t>
            </w:r>
            <w:r w:rsidR="00635C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ciclisti morti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nel complesso</w:t>
            </w:r>
          </w:p>
        </w:tc>
        <w:tc>
          <w:tcPr>
            <w:tcW w:w="3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1F9B" w:rsidRPr="008F364D" w:rsidRDefault="00F61F9B" w:rsidP="00CD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di cui </w:t>
            </w:r>
            <w:r w:rsidR="00CD7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ambito urbano</w:t>
            </w:r>
          </w:p>
        </w:tc>
      </w:tr>
      <w:tr w:rsidR="00F61F9B" w:rsidRPr="008F364D" w:rsidTr="004D701B">
        <w:trPr>
          <w:trHeight w:hRule="exact" w:val="284"/>
        </w:trPr>
        <w:tc>
          <w:tcPr>
            <w:tcW w:w="231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9B" w:rsidRPr="008F364D" w:rsidRDefault="00F61F9B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2001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2010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2011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2012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2013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2014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2015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2001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2010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1F9B" w:rsidRPr="008F364D" w:rsidRDefault="00F61F9B" w:rsidP="004D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2011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2012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2013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1F9B" w:rsidRPr="008F364D" w:rsidRDefault="00F61F9B" w:rsidP="004D7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2014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1F9B" w:rsidRPr="008F364D" w:rsidRDefault="00F61F9B" w:rsidP="004D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2015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Piemonte</w:t>
            </w:r>
          </w:p>
        </w:tc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Valle d'Aosta/ </w:t>
            </w:r>
            <w:proofErr w:type="spellStart"/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Vallée</w:t>
            </w:r>
            <w:proofErr w:type="spellEnd"/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d'</w:t>
            </w:r>
            <w:proofErr w:type="spellStart"/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Aoste</w:t>
            </w:r>
            <w:proofErr w:type="spellEnd"/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Liguria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155DC7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83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42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62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49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54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155DC7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50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35" w:type="dxa"/>
            <w:vAlign w:val="center"/>
          </w:tcPr>
          <w:p w:rsidR="002D612E" w:rsidRPr="002D612E" w:rsidRDefault="00155DC7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  <w:r w:rsidR="002D612E"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Trentino Alto Adige/ Südtirol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CD7538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D75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4" w:type="dxa"/>
            <w:vAlign w:val="center"/>
          </w:tcPr>
          <w:p w:rsidR="002D612E" w:rsidRPr="00CD7538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5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5" w:type="dxa"/>
            <w:vAlign w:val="center"/>
          </w:tcPr>
          <w:p w:rsidR="002D612E" w:rsidRPr="00CD7538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D75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CD7538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D75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:rsidR="002D612E" w:rsidRPr="00CD7538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D75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CD7538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75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Bolzano/Bozen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2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Trento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-</w:t>
            </w:r>
          </w:p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2D612E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  <w:t>-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Veneto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48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50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35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43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25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Friuli Venezia Giulia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Emilia Romagna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50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59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48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29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Toscana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29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Umbria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Marche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Lazio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Abruzzo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Molise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Campania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Puglia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Basilicata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Calabria 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Sicilia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34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5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4" w:type="dxa"/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35" w:type="dxa"/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</w:t>
            </w:r>
          </w:p>
        </w:tc>
      </w:tr>
      <w:tr w:rsidR="002D612E" w:rsidRPr="008F364D" w:rsidTr="002D612E">
        <w:trPr>
          <w:trHeight w:hRule="exact" w:val="198"/>
        </w:trPr>
        <w:tc>
          <w:tcPr>
            <w:tcW w:w="23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Sardegna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</w:t>
            </w:r>
          </w:p>
        </w:tc>
      </w:tr>
      <w:tr w:rsidR="002D612E" w:rsidRPr="00A656FE" w:rsidTr="002D612E">
        <w:trPr>
          <w:trHeight w:hRule="exact" w:val="227"/>
        </w:trPr>
        <w:tc>
          <w:tcPr>
            <w:tcW w:w="2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12E" w:rsidRPr="008F364D" w:rsidRDefault="002D612E" w:rsidP="004D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Italia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366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263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282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292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251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8F36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273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251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246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172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12E" w:rsidRPr="008F364D" w:rsidRDefault="002D612E" w:rsidP="002D612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36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158</w:t>
            </w:r>
          </w:p>
        </w:tc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12E" w:rsidRPr="002D612E" w:rsidRDefault="002D612E" w:rsidP="002D6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</w:pPr>
            <w:r w:rsidRPr="002D61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it-IT"/>
              </w:rPr>
              <w:t>161</w:t>
            </w:r>
          </w:p>
        </w:tc>
      </w:tr>
    </w:tbl>
    <w:p w:rsidR="00F61F9B" w:rsidRDefault="00F61F9B" w:rsidP="00F61F9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F364D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8F364D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2D612E" w:rsidRDefault="002D612E" w:rsidP="00F61F9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612E" w:rsidRDefault="002D612E" w:rsidP="00F61F9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61F9B" w:rsidRPr="00D47DCC" w:rsidRDefault="00F61F9B" w:rsidP="00F61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DCC">
        <w:rPr>
          <w:rFonts w:ascii="Times New Roman" w:hAnsi="Times New Roman" w:cs="Times New Roman"/>
          <w:sz w:val="24"/>
          <w:szCs w:val="24"/>
        </w:rPr>
        <w:t>Il tasso di mortalità dei c</w:t>
      </w:r>
      <w:r w:rsidR="00D47DCC" w:rsidRPr="00D47DCC">
        <w:rPr>
          <w:rFonts w:ascii="Times New Roman" w:hAnsi="Times New Roman" w:cs="Times New Roman"/>
          <w:sz w:val="24"/>
          <w:szCs w:val="24"/>
        </w:rPr>
        <w:t>iclisti nel 2015</w:t>
      </w:r>
      <w:r w:rsidRPr="00D47DCC">
        <w:rPr>
          <w:rFonts w:ascii="Times New Roman" w:hAnsi="Times New Roman" w:cs="Times New Roman"/>
          <w:sz w:val="24"/>
          <w:szCs w:val="24"/>
        </w:rPr>
        <w:t xml:space="preserve"> è pari a 0,4</w:t>
      </w:r>
      <w:r w:rsidR="0066437E">
        <w:rPr>
          <w:rFonts w:ascii="Times New Roman" w:hAnsi="Times New Roman" w:cs="Times New Roman"/>
          <w:sz w:val="24"/>
          <w:szCs w:val="24"/>
        </w:rPr>
        <w:t>1</w:t>
      </w:r>
      <w:r w:rsidRPr="00D47DCC">
        <w:rPr>
          <w:rFonts w:ascii="Times New Roman" w:hAnsi="Times New Roman" w:cs="Times New Roman"/>
          <w:sz w:val="24"/>
          <w:szCs w:val="24"/>
        </w:rPr>
        <w:t xml:space="preserve"> per 100 mila abitanti, valore pressoché stabile negli ultimi 5 anni.</w:t>
      </w:r>
    </w:p>
    <w:p w:rsidR="00F61F9B" w:rsidRDefault="00F61F9B" w:rsidP="00F61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DCC">
        <w:rPr>
          <w:rFonts w:ascii="Times New Roman" w:hAnsi="Times New Roman" w:cs="Times New Roman"/>
          <w:sz w:val="24"/>
          <w:szCs w:val="24"/>
        </w:rPr>
        <w:t>A livello regionale, nel 201</w:t>
      </w:r>
      <w:r w:rsidR="00D47DCC" w:rsidRPr="00D47DCC">
        <w:rPr>
          <w:rFonts w:ascii="Times New Roman" w:hAnsi="Times New Roman" w:cs="Times New Roman"/>
          <w:sz w:val="24"/>
          <w:szCs w:val="24"/>
        </w:rPr>
        <w:t>5</w:t>
      </w:r>
      <w:r w:rsidRPr="00D47DCC">
        <w:rPr>
          <w:rFonts w:ascii="Times New Roman" w:hAnsi="Times New Roman" w:cs="Times New Roman"/>
          <w:sz w:val="24"/>
          <w:szCs w:val="24"/>
        </w:rPr>
        <w:t>, si riscontra una elevata mortalità dei ciclisti</w:t>
      </w:r>
      <w:r w:rsidR="00BA7E96">
        <w:rPr>
          <w:rFonts w:ascii="Times New Roman" w:hAnsi="Times New Roman" w:cs="Times New Roman"/>
          <w:sz w:val="24"/>
          <w:szCs w:val="24"/>
        </w:rPr>
        <w:t xml:space="preserve"> in</w:t>
      </w:r>
      <w:r w:rsidR="00BA7E96" w:rsidRPr="00BA7E96">
        <w:rPr>
          <w:rFonts w:ascii="Times New Roman" w:hAnsi="Times New Roman" w:cs="Times New Roman"/>
          <w:sz w:val="24"/>
          <w:szCs w:val="24"/>
        </w:rPr>
        <w:t xml:space="preserve"> </w:t>
      </w:r>
      <w:r w:rsidR="00BA7E96" w:rsidRPr="00D47DCC">
        <w:rPr>
          <w:rFonts w:ascii="Times New Roman" w:hAnsi="Times New Roman" w:cs="Times New Roman"/>
          <w:sz w:val="24"/>
          <w:szCs w:val="24"/>
        </w:rPr>
        <w:t>Friuli Venezia Giulia (0,9 per 100 mila)</w:t>
      </w:r>
      <w:r w:rsidR="00BA7E96">
        <w:rPr>
          <w:rFonts w:ascii="Times New Roman" w:hAnsi="Times New Roman" w:cs="Times New Roman"/>
          <w:sz w:val="24"/>
          <w:szCs w:val="24"/>
        </w:rPr>
        <w:t>,</w:t>
      </w:r>
      <w:r w:rsidRPr="00D47DCC">
        <w:rPr>
          <w:rFonts w:ascii="Times New Roman" w:hAnsi="Times New Roman" w:cs="Times New Roman"/>
          <w:sz w:val="24"/>
          <w:szCs w:val="24"/>
        </w:rPr>
        <w:t xml:space="preserve"> in Emilia Romagna</w:t>
      </w:r>
      <w:r w:rsidR="00BA7E96">
        <w:rPr>
          <w:rFonts w:ascii="Times New Roman" w:hAnsi="Times New Roman" w:cs="Times New Roman"/>
          <w:sz w:val="24"/>
          <w:szCs w:val="24"/>
        </w:rPr>
        <w:t xml:space="preserve"> (0,85 per 100 mila)</w:t>
      </w:r>
      <w:r w:rsidR="00D47DCC" w:rsidRPr="00D47DCC">
        <w:rPr>
          <w:rFonts w:ascii="Times New Roman" w:hAnsi="Times New Roman" w:cs="Times New Roman"/>
          <w:sz w:val="24"/>
          <w:szCs w:val="24"/>
        </w:rPr>
        <w:t>,</w:t>
      </w:r>
      <w:r w:rsidRPr="00D47DCC">
        <w:rPr>
          <w:rFonts w:ascii="Times New Roman" w:hAnsi="Times New Roman" w:cs="Times New Roman"/>
          <w:sz w:val="24"/>
          <w:szCs w:val="24"/>
        </w:rPr>
        <w:t xml:space="preserve"> in Veneto (0,</w:t>
      </w:r>
      <w:r w:rsidR="00BA7E96">
        <w:rPr>
          <w:rFonts w:ascii="Times New Roman" w:hAnsi="Times New Roman" w:cs="Times New Roman"/>
          <w:sz w:val="24"/>
          <w:szCs w:val="24"/>
        </w:rPr>
        <w:t>79</w:t>
      </w:r>
      <w:r w:rsidRPr="00D47DCC">
        <w:rPr>
          <w:rFonts w:ascii="Times New Roman" w:hAnsi="Times New Roman" w:cs="Times New Roman"/>
          <w:sz w:val="24"/>
          <w:szCs w:val="24"/>
        </w:rPr>
        <w:t xml:space="preserve"> per 100 mila) e in </w:t>
      </w:r>
      <w:r w:rsidR="00D47DCC" w:rsidRPr="00D47DCC">
        <w:rPr>
          <w:rFonts w:ascii="Times New Roman" w:hAnsi="Times New Roman" w:cs="Times New Roman"/>
          <w:sz w:val="24"/>
          <w:szCs w:val="24"/>
        </w:rPr>
        <w:t>Toscana</w:t>
      </w:r>
      <w:r w:rsidRPr="00D47DCC">
        <w:rPr>
          <w:rFonts w:ascii="Times New Roman" w:hAnsi="Times New Roman" w:cs="Times New Roman"/>
          <w:sz w:val="24"/>
          <w:szCs w:val="24"/>
        </w:rPr>
        <w:t xml:space="preserve"> (0,</w:t>
      </w:r>
      <w:r w:rsidR="00D47DCC" w:rsidRPr="00D47DCC">
        <w:rPr>
          <w:rFonts w:ascii="Times New Roman" w:hAnsi="Times New Roman" w:cs="Times New Roman"/>
          <w:sz w:val="24"/>
          <w:szCs w:val="24"/>
        </w:rPr>
        <w:t>7</w:t>
      </w:r>
      <w:r w:rsidR="00BA7E96">
        <w:rPr>
          <w:rFonts w:ascii="Times New Roman" w:hAnsi="Times New Roman" w:cs="Times New Roman"/>
          <w:sz w:val="24"/>
          <w:szCs w:val="24"/>
        </w:rPr>
        <w:t>5</w:t>
      </w:r>
      <w:r w:rsidRPr="00D47DCC">
        <w:rPr>
          <w:rFonts w:ascii="Times New Roman" w:hAnsi="Times New Roman" w:cs="Times New Roman"/>
          <w:sz w:val="24"/>
          <w:szCs w:val="24"/>
        </w:rPr>
        <w:t xml:space="preserve">). Valori molto bassi si </w:t>
      </w:r>
      <w:r w:rsidR="00BA7E96">
        <w:rPr>
          <w:rFonts w:ascii="Times New Roman" w:hAnsi="Times New Roman" w:cs="Times New Roman"/>
          <w:sz w:val="24"/>
          <w:szCs w:val="24"/>
        </w:rPr>
        <w:t>registrano</w:t>
      </w:r>
      <w:r w:rsidRPr="00D47DCC">
        <w:rPr>
          <w:rFonts w:ascii="Times New Roman" w:hAnsi="Times New Roman" w:cs="Times New Roman"/>
          <w:sz w:val="24"/>
          <w:szCs w:val="24"/>
        </w:rPr>
        <w:t xml:space="preserve"> Campania, </w:t>
      </w:r>
      <w:r w:rsidR="00D47DCC" w:rsidRPr="00D47DCC">
        <w:rPr>
          <w:rFonts w:ascii="Times New Roman" w:hAnsi="Times New Roman" w:cs="Times New Roman"/>
          <w:sz w:val="24"/>
          <w:szCs w:val="24"/>
        </w:rPr>
        <w:t>Calabria, Sicilia e Abruzzo (valori tra 0,1</w:t>
      </w:r>
      <w:r w:rsidR="00BA7E96">
        <w:rPr>
          <w:rFonts w:ascii="Times New Roman" w:hAnsi="Times New Roman" w:cs="Times New Roman"/>
          <w:sz w:val="24"/>
          <w:szCs w:val="24"/>
        </w:rPr>
        <w:t>0</w:t>
      </w:r>
      <w:r w:rsidR="00D47DCC" w:rsidRPr="00D47DCC">
        <w:rPr>
          <w:rFonts w:ascii="Times New Roman" w:hAnsi="Times New Roman" w:cs="Times New Roman"/>
          <w:sz w:val="24"/>
          <w:szCs w:val="24"/>
        </w:rPr>
        <w:t xml:space="preserve"> e 0,2</w:t>
      </w:r>
      <w:r w:rsidR="00BA7E96">
        <w:rPr>
          <w:rFonts w:ascii="Times New Roman" w:hAnsi="Times New Roman" w:cs="Times New Roman"/>
          <w:sz w:val="24"/>
          <w:szCs w:val="24"/>
        </w:rPr>
        <w:t>3</w:t>
      </w:r>
      <w:r w:rsidR="00D47DCC" w:rsidRPr="00D47DCC">
        <w:rPr>
          <w:rFonts w:ascii="Times New Roman" w:hAnsi="Times New Roman" w:cs="Times New Roman"/>
          <w:sz w:val="24"/>
          <w:szCs w:val="24"/>
        </w:rPr>
        <w:t>)</w:t>
      </w:r>
      <w:r w:rsidRPr="00D47DCC">
        <w:rPr>
          <w:rFonts w:ascii="Times New Roman" w:hAnsi="Times New Roman" w:cs="Times New Roman"/>
          <w:sz w:val="24"/>
          <w:szCs w:val="24"/>
        </w:rPr>
        <w:t>.</w:t>
      </w:r>
    </w:p>
    <w:p w:rsidR="00BA7E96" w:rsidRDefault="00BA7E96" w:rsidP="00F61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Rispetto al 2014 il tasso di mortalità aumenta in Liguria, </w:t>
      </w:r>
      <w:r w:rsidR="00BE703D">
        <w:rPr>
          <w:rFonts w:ascii="Times New Roman" w:hAnsi="Times New Roman" w:cs="Times New Roman"/>
          <w:sz w:val="24"/>
          <w:szCs w:val="24"/>
        </w:rPr>
        <w:t>Lombardia</w:t>
      </w:r>
      <w:r>
        <w:rPr>
          <w:rFonts w:ascii="Times New Roman" w:hAnsi="Times New Roman" w:cs="Times New Roman"/>
          <w:sz w:val="24"/>
          <w:szCs w:val="24"/>
        </w:rPr>
        <w:t>, Toscana, Umbria</w:t>
      </w:r>
      <w:r w:rsidR="00BE703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Marche</w:t>
      </w:r>
      <w:r w:rsidR="00BE703D">
        <w:rPr>
          <w:rFonts w:ascii="Times New Roman" w:hAnsi="Times New Roman" w:cs="Times New Roman"/>
          <w:sz w:val="24"/>
          <w:szCs w:val="24"/>
        </w:rPr>
        <w:t xml:space="preserve">, Molise, Puglia e </w:t>
      </w:r>
      <w:r w:rsidR="00E51AE6">
        <w:rPr>
          <w:rFonts w:ascii="Times New Roman" w:hAnsi="Times New Roman" w:cs="Times New Roman"/>
          <w:sz w:val="24"/>
          <w:szCs w:val="24"/>
        </w:rPr>
        <w:t>Basilicata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7E96" w:rsidRDefault="00BA7E96" w:rsidP="00F61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CF420E" w:rsidRPr="007675B6" w:rsidRDefault="00CF420E" w:rsidP="00F61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F61F9B" w:rsidRDefault="00D47DCC" w:rsidP="00F61F9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Fig. </w:t>
      </w:r>
      <w:r w:rsidR="0048685F">
        <w:rPr>
          <w:rFonts w:ascii="Times New Roman" w:hAnsi="Times New Roman" w:cs="Times New Roman"/>
          <w:b/>
          <w:sz w:val="24"/>
          <w:szCs w:val="24"/>
        </w:rPr>
        <w:t>6</w:t>
      </w:r>
      <w:r w:rsidR="00F61F9B" w:rsidRPr="00D47DCC">
        <w:rPr>
          <w:rFonts w:ascii="Times New Roman" w:hAnsi="Times New Roman" w:cs="Times New Roman"/>
          <w:b/>
          <w:sz w:val="24"/>
          <w:szCs w:val="24"/>
        </w:rPr>
        <w:t xml:space="preserve"> - Tassi di mortalità dei ciclisti in incidenti stradali per Regione. Anni 2010 e 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F61F9B" w:rsidRPr="00D47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1F9B" w:rsidRPr="00D47DCC">
        <w:rPr>
          <w:rFonts w:ascii="Times New Roman" w:hAnsi="Times New Roman" w:cs="Times New Roman"/>
          <w:i/>
          <w:sz w:val="24"/>
          <w:szCs w:val="24"/>
        </w:rPr>
        <w:t>(per 100.000 abitanti)</w:t>
      </w:r>
    </w:p>
    <w:p w:rsidR="00635C57" w:rsidRDefault="00D47DCC" w:rsidP="00F61F9B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47DCC">
        <w:rPr>
          <w:rFonts w:ascii="Times New Roman" w:hAnsi="Times New Roman" w:cs="Times New Roman"/>
          <w:noProof/>
          <w:sz w:val="16"/>
          <w:szCs w:val="16"/>
          <w:lang w:eastAsia="it-IT"/>
        </w:rPr>
        <w:drawing>
          <wp:inline distT="0" distB="0" distL="0" distR="0" wp14:anchorId="7C5C3394" wp14:editId="7833C17A">
            <wp:extent cx="6086475" cy="2295525"/>
            <wp:effectExtent l="0" t="0" r="0" b="0"/>
            <wp:docPr id="6" name="Gra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61F9B" w:rsidRPr="0002767C" w:rsidRDefault="00F61F9B" w:rsidP="00F61F9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2767C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02767C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F61F9B" w:rsidRDefault="00F61F9B" w:rsidP="00F61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1E26" w:rsidRDefault="00381E26" w:rsidP="00552B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52B5F" w:rsidRPr="00CF420E" w:rsidRDefault="00552B5F" w:rsidP="00552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20E">
        <w:rPr>
          <w:rFonts w:ascii="Times New Roman" w:hAnsi="Times New Roman" w:cs="Times New Roman"/>
          <w:b/>
          <w:sz w:val="24"/>
          <w:szCs w:val="24"/>
        </w:rPr>
        <w:t>Incidentalità stradale nei grandi Comuni. Anno 2015</w:t>
      </w:r>
    </w:p>
    <w:p w:rsidR="00552B5F" w:rsidRDefault="00552B5F" w:rsidP="00552B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2B5F" w:rsidRPr="00CF420E" w:rsidRDefault="00552B5F" w:rsidP="00CF42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20E">
        <w:rPr>
          <w:rFonts w:ascii="Times New Roman" w:hAnsi="Times New Roman" w:cs="Times New Roman"/>
          <w:sz w:val="24"/>
          <w:szCs w:val="24"/>
        </w:rPr>
        <w:t>L’analisi dell’incidentalità stradale nei grandi Comuni italiani consente di delineare importanti caratteristiche del fenomeno nelle principali realtà urbane e di individuare elementi utili per le politiche sulla sicurezza stradale a livello locale. I grandi comuni</w:t>
      </w:r>
      <w:r w:rsidR="0066437E">
        <w:rPr>
          <w:rFonts w:ascii="Times New Roman" w:hAnsi="Times New Roman" w:cs="Times New Roman"/>
          <w:sz w:val="24"/>
          <w:szCs w:val="24"/>
        </w:rPr>
        <w:t xml:space="preserve"> </w:t>
      </w:r>
      <w:r w:rsidR="00BE703D">
        <w:rPr>
          <w:rFonts w:ascii="Times New Roman" w:hAnsi="Times New Roman" w:cs="Times New Roman"/>
          <w:sz w:val="24"/>
          <w:szCs w:val="24"/>
        </w:rPr>
        <w:t>selezionati</w:t>
      </w:r>
      <w:r w:rsidRPr="00CF420E">
        <w:rPr>
          <w:rFonts w:ascii="Times New Roman" w:hAnsi="Times New Roman" w:cs="Times New Roman"/>
          <w:sz w:val="24"/>
          <w:szCs w:val="24"/>
        </w:rPr>
        <w:t xml:space="preserve"> sono Torino, Milano, Verona, Venezia, Trieste, Genova, Bologna, Firenze, Roma, Napoli, Bari, Palermo, Messina e Catania. </w:t>
      </w:r>
    </w:p>
    <w:p w:rsidR="00552B5F" w:rsidRPr="00CF420E" w:rsidRDefault="00552B5F" w:rsidP="00BE7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20E">
        <w:rPr>
          <w:rFonts w:ascii="Times New Roman" w:hAnsi="Times New Roman" w:cs="Times New Roman"/>
          <w:sz w:val="24"/>
          <w:szCs w:val="24"/>
        </w:rPr>
        <w:t xml:space="preserve">Gli incidenti stradali in tali aree rappresentano, nel 2015, il 25,6% del totale in Italia (44.560), le vittime </w:t>
      </w:r>
      <w:r w:rsidR="0066437E">
        <w:rPr>
          <w:rFonts w:ascii="Times New Roman" w:hAnsi="Times New Roman" w:cs="Times New Roman"/>
          <w:sz w:val="24"/>
          <w:szCs w:val="24"/>
        </w:rPr>
        <w:t>pesano</w:t>
      </w:r>
      <w:r w:rsidRPr="00CF420E">
        <w:rPr>
          <w:rFonts w:ascii="Times New Roman" w:hAnsi="Times New Roman" w:cs="Times New Roman"/>
          <w:sz w:val="24"/>
          <w:szCs w:val="24"/>
        </w:rPr>
        <w:t xml:space="preserve"> il 12,8%</w:t>
      </w:r>
      <w:r w:rsidR="0066437E">
        <w:rPr>
          <w:rFonts w:ascii="Times New Roman" w:hAnsi="Times New Roman" w:cs="Times New Roman"/>
          <w:sz w:val="24"/>
          <w:szCs w:val="24"/>
        </w:rPr>
        <w:t xml:space="preserve"> sul totale</w:t>
      </w:r>
      <w:r w:rsidRPr="00CF420E">
        <w:rPr>
          <w:rFonts w:ascii="Times New Roman" w:hAnsi="Times New Roman" w:cs="Times New Roman"/>
          <w:sz w:val="24"/>
          <w:szCs w:val="24"/>
        </w:rPr>
        <w:t xml:space="preserve"> (440). </w:t>
      </w:r>
    </w:p>
    <w:p w:rsidR="00E6765E" w:rsidRDefault="00552B5F" w:rsidP="00E676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20E">
        <w:rPr>
          <w:rFonts w:ascii="Times New Roman" w:hAnsi="Times New Roman" w:cs="Times New Roman"/>
          <w:sz w:val="24"/>
          <w:szCs w:val="24"/>
        </w:rPr>
        <w:t>L’anno 2015 è stato particolarmente negativo per l’incidentalità stradale, segnato in quasi tutte le realtà territoriali da un aumento delle vittime dopo il calo registrato fino al</w:t>
      </w:r>
      <w:r w:rsidR="0066437E">
        <w:rPr>
          <w:rFonts w:ascii="Times New Roman" w:hAnsi="Times New Roman" w:cs="Times New Roman"/>
          <w:sz w:val="24"/>
          <w:szCs w:val="24"/>
        </w:rPr>
        <w:t xml:space="preserve"> 2013</w:t>
      </w:r>
      <w:r w:rsidR="00E6765E">
        <w:rPr>
          <w:rFonts w:ascii="Times New Roman" w:hAnsi="Times New Roman" w:cs="Times New Roman"/>
          <w:sz w:val="24"/>
          <w:szCs w:val="24"/>
        </w:rPr>
        <w:t xml:space="preserve"> e la battuta d’arresto del 2014</w:t>
      </w:r>
      <w:r w:rsidR="00D71C04">
        <w:rPr>
          <w:rFonts w:ascii="Times New Roman" w:hAnsi="Times New Roman" w:cs="Times New Roman"/>
          <w:sz w:val="24"/>
          <w:szCs w:val="24"/>
        </w:rPr>
        <w:t xml:space="preserve"> (Fig. 7)</w:t>
      </w:r>
      <w:r w:rsidR="006643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1C04" w:rsidRDefault="00D71C04" w:rsidP="00D71C04">
      <w:pPr>
        <w:pStyle w:val="xl23"/>
        <w:tabs>
          <w:tab w:val="left" w:pos="0"/>
        </w:tabs>
        <w:spacing w:before="0" w:beforeAutospacing="0" w:after="120" w:afterAutospacing="0"/>
        <w:ind w:right="-35"/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</w:pPr>
    </w:p>
    <w:p w:rsidR="00D71C04" w:rsidRPr="00D71C04" w:rsidRDefault="00D71C04" w:rsidP="00D71C04">
      <w:pPr>
        <w:pStyle w:val="xl23"/>
        <w:tabs>
          <w:tab w:val="left" w:pos="0"/>
        </w:tabs>
        <w:spacing w:before="0" w:beforeAutospacing="0" w:after="120" w:afterAutospacing="0"/>
        <w:ind w:right="-35"/>
        <w:jc w:val="both"/>
        <w:rPr>
          <w:rFonts w:ascii="Times New Roman" w:eastAsiaTheme="minorHAnsi" w:hAnsi="Times New Roman" w:cs="Times New Roman"/>
          <w:b w:val="0"/>
          <w:bCs w:val="0"/>
          <w:i/>
          <w:sz w:val="24"/>
          <w:szCs w:val="24"/>
          <w:lang w:eastAsia="en-US"/>
        </w:rPr>
      </w:pPr>
      <w:r w:rsidRPr="00D71C04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>Fig. 7 -</w:t>
      </w:r>
      <w:r w:rsidRPr="00D71C04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 w:rsidRPr="00D71C04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>Incidenti stradali con lesioni a persone e vittime nei grandi comuni italiani nel complesso. Anni 2001-2015</w:t>
      </w:r>
      <w:r w:rsidRPr="00D71C04">
        <w:rPr>
          <w:rFonts w:ascii="Times New Roman" w:eastAsiaTheme="minorHAnsi" w:hAnsi="Times New Roman" w:cs="Times New Roman"/>
          <w:b w:val="0"/>
          <w:bCs w:val="0"/>
          <w:i/>
          <w:sz w:val="24"/>
          <w:szCs w:val="24"/>
          <w:lang w:eastAsia="en-US"/>
        </w:rPr>
        <w:t xml:space="preserve"> (valori assoluti) </w:t>
      </w:r>
    </w:p>
    <w:p w:rsidR="0004189C" w:rsidRDefault="00D71C04" w:rsidP="00D71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40EF7B92" wp14:editId="2A089366">
            <wp:extent cx="6122504" cy="1995777"/>
            <wp:effectExtent l="0" t="0" r="0" b="0"/>
            <wp:docPr id="10" name="Gra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71C04" w:rsidRPr="0002767C" w:rsidRDefault="00D71C04" w:rsidP="00D71C0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2767C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02767C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04189C" w:rsidRDefault="0004189C" w:rsidP="00E676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6765E" w:rsidRDefault="00E6765E" w:rsidP="00E676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 il 2014 e il 2015, i</w:t>
      </w:r>
      <w:r w:rsidR="00552B5F" w:rsidRPr="00CF420E">
        <w:rPr>
          <w:rFonts w:ascii="Times New Roman" w:hAnsi="Times New Roman" w:cs="Times New Roman"/>
          <w:sz w:val="24"/>
          <w:szCs w:val="24"/>
        </w:rPr>
        <w:t xml:space="preserve"> grandi Comuni </w:t>
      </w:r>
      <w:r w:rsidR="0066437E">
        <w:rPr>
          <w:rFonts w:ascii="Times New Roman" w:hAnsi="Times New Roman" w:cs="Times New Roman"/>
          <w:sz w:val="24"/>
          <w:szCs w:val="24"/>
        </w:rPr>
        <w:t xml:space="preserve">registrano, nel complesso, </w:t>
      </w:r>
      <w:r w:rsidR="00552B5F" w:rsidRPr="00CF420E">
        <w:rPr>
          <w:rFonts w:ascii="Times New Roman" w:hAnsi="Times New Roman" w:cs="Times New Roman"/>
          <w:sz w:val="24"/>
          <w:szCs w:val="24"/>
        </w:rPr>
        <w:t>un aumento del</w:t>
      </w:r>
      <w:r w:rsidR="0066437E">
        <w:rPr>
          <w:rFonts w:ascii="Times New Roman" w:hAnsi="Times New Roman" w:cs="Times New Roman"/>
          <w:sz w:val="24"/>
          <w:szCs w:val="24"/>
        </w:rPr>
        <w:t>l’</w:t>
      </w:r>
      <w:r w:rsidR="00552B5F" w:rsidRPr="00CF420E">
        <w:rPr>
          <w:rFonts w:ascii="Times New Roman" w:hAnsi="Times New Roman" w:cs="Times New Roman"/>
          <w:sz w:val="24"/>
          <w:szCs w:val="24"/>
        </w:rPr>
        <w:t xml:space="preserve">11,4% </w:t>
      </w:r>
      <w:r w:rsidR="0066437E" w:rsidRPr="00CF420E">
        <w:rPr>
          <w:rFonts w:ascii="Times New Roman" w:hAnsi="Times New Roman" w:cs="Times New Roman"/>
          <w:sz w:val="24"/>
          <w:szCs w:val="24"/>
        </w:rPr>
        <w:t>delle vittime</w:t>
      </w:r>
      <w:r w:rsidR="006C59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437E">
        <w:rPr>
          <w:rFonts w:ascii="Times New Roman" w:hAnsi="Times New Roman" w:cs="Times New Roman"/>
          <w:sz w:val="24"/>
          <w:szCs w:val="24"/>
        </w:rPr>
        <w:t>L’increment</w:t>
      </w:r>
      <w:r w:rsidR="00552B5F" w:rsidRPr="00CF420E">
        <w:rPr>
          <w:rFonts w:ascii="Times New Roman" w:hAnsi="Times New Roman" w:cs="Times New Roman"/>
          <w:sz w:val="24"/>
          <w:szCs w:val="24"/>
        </w:rPr>
        <w:t>o</w:t>
      </w:r>
      <w:r w:rsidR="0066437E">
        <w:rPr>
          <w:rFonts w:ascii="Times New Roman" w:hAnsi="Times New Roman" w:cs="Times New Roman"/>
          <w:sz w:val="24"/>
          <w:szCs w:val="24"/>
        </w:rPr>
        <w:t xml:space="preserve"> del numero dei morti </w:t>
      </w:r>
      <w:r w:rsidR="00552B5F" w:rsidRPr="00CF420E">
        <w:rPr>
          <w:rFonts w:ascii="Times New Roman" w:hAnsi="Times New Roman" w:cs="Times New Roman"/>
          <w:sz w:val="24"/>
          <w:szCs w:val="24"/>
        </w:rPr>
        <w:t>raggiunge valori molto elevati a Genova, Torino, Bologna e Venezia. Solamente a Verona, Trieste, Palermo, Messina e Catania</w:t>
      </w:r>
      <w:r w:rsidR="0066437E">
        <w:rPr>
          <w:rFonts w:ascii="Times New Roman" w:hAnsi="Times New Roman" w:cs="Times New Roman"/>
          <w:sz w:val="24"/>
          <w:szCs w:val="24"/>
        </w:rPr>
        <w:t xml:space="preserve"> </w:t>
      </w:r>
      <w:r w:rsidR="00BE703D">
        <w:rPr>
          <w:rFonts w:ascii="Times New Roman" w:hAnsi="Times New Roman" w:cs="Times New Roman"/>
          <w:sz w:val="24"/>
          <w:szCs w:val="24"/>
        </w:rPr>
        <w:t xml:space="preserve">si registra un </w:t>
      </w:r>
      <w:r w:rsidR="00552B5F" w:rsidRPr="00CF420E">
        <w:rPr>
          <w:rFonts w:ascii="Times New Roman" w:hAnsi="Times New Roman" w:cs="Times New Roman"/>
          <w:sz w:val="24"/>
          <w:szCs w:val="24"/>
        </w:rPr>
        <w:t>calo</w:t>
      </w:r>
      <w:r w:rsidR="005D4C46">
        <w:rPr>
          <w:rFonts w:ascii="Times New Roman" w:hAnsi="Times New Roman" w:cs="Times New Roman"/>
          <w:sz w:val="24"/>
          <w:szCs w:val="24"/>
        </w:rPr>
        <w:t>. Gli incidenti stradali e i feriti diminuiscono, nel complesso, dell’1,8%,</w:t>
      </w:r>
      <w:r w:rsidR="00552B5F" w:rsidRPr="00CF420E">
        <w:rPr>
          <w:rFonts w:ascii="Times New Roman" w:hAnsi="Times New Roman" w:cs="Times New Roman"/>
          <w:sz w:val="24"/>
          <w:szCs w:val="24"/>
        </w:rPr>
        <w:t xml:space="preserve"> aumentano</w:t>
      </w:r>
      <w:r w:rsidR="005D4C46">
        <w:rPr>
          <w:rFonts w:ascii="Times New Roman" w:hAnsi="Times New Roman" w:cs="Times New Roman"/>
          <w:sz w:val="24"/>
          <w:szCs w:val="24"/>
        </w:rPr>
        <w:t>, però</w:t>
      </w:r>
      <w:r w:rsidR="00552B5F" w:rsidRPr="00CF420E">
        <w:rPr>
          <w:rFonts w:ascii="Times New Roman" w:hAnsi="Times New Roman" w:cs="Times New Roman"/>
          <w:sz w:val="24"/>
          <w:szCs w:val="24"/>
        </w:rPr>
        <w:t xml:space="preserve"> a Venezia, Trieste, Genova e Bari.</w:t>
      </w:r>
      <w:r w:rsidR="003C54B8" w:rsidRPr="003C54B8">
        <w:rPr>
          <w:rFonts w:ascii="Times New Roman" w:hAnsi="Times New Roman" w:cs="Times New Roman"/>
          <w:sz w:val="24"/>
          <w:szCs w:val="24"/>
        </w:rPr>
        <w:t xml:space="preserve"> </w:t>
      </w:r>
      <w:r w:rsidR="003C54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1E01" w:rsidRPr="006C59F7" w:rsidRDefault="00681E01" w:rsidP="00681E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433">
        <w:rPr>
          <w:rFonts w:ascii="Times New Roman" w:hAnsi="Times New Roman" w:cs="Times New Roman"/>
          <w:sz w:val="24"/>
          <w:szCs w:val="24"/>
        </w:rPr>
        <w:lastRenderedPageBreak/>
        <w:t>La maggior parte dei territori considerati presenta, nel 2015, un aumento del numero dei morti</w:t>
      </w:r>
      <w:r w:rsidR="001D0433" w:rsidRPr="001D0433">
        <w:rPr>
          <w:rFonts w:ascii="Times New Roman" w:hAnsi="Times New Roman" w:cs="Times New Roman"/>
          <w:sz w:val="24"/>
          <w:szCs w:val="24"/>
        </w:rPr>
        <w:t xml:space="preserve"> sia su strade urbane, sia fuori dell’abitato</w:t>
      </w:r>
      <w:r w:rsidRPr="001D0433">
        <w:rPr>
          <w:rFonts w:ascii="Times New Roman" w:hAnsi="Times New Roman" w:cs="Times New Roman"/>
          <w:sz w:val="24"/>
          <w:szCs w:val="24"/>
        </w:rPr>
        <w:t xml:space="preserve">. </w:t>
      </w:r>
      <w:r w:rsidRPr="00EC5DD6">
        <w:rPr>
          <w:rFonts w:ascii="Times New Roman" w:hAnsi="Times New Roman" w:cs="Times New Roman"/>
          <w:sz w:val="24"/>
          <w:szCs w:val="24"/>
        </w:rPr>
        <w:t>Le vittime sulle strade urbane dei grandi comuni rappresentano il 2</w:t>
      </w:r>
      <w:r w:rsidR="00EC5DD6" w:rsidRPr="00EC5DD6">
        <w:rPr>
          <w:rFonts w:ascii="Times New Roman" w:hAnsi="Times New Roman" w:cs="Times New Roman"/>
          <w:sz w:val="24"/>
          <w:szCs w:val="24"/>
        </w:rPr>
        <w:t>1,5</w:t>
      </w:r>
      <w:r w:rsidRPr="00EC5DD6">
        <w:rPr>
          <w:rFonts w:ascii="Times New Roman" w:hAnsi="Times New Roman" w:cs="Times New Roman"/>
          <w:sz w:val="24"/>
          <w:szCs w:val="24"/>
        </w:rPr>
        <w:t xml:space="preserve">% del totale in Italia per la stessa categoria di strada, mentre quelle sulle </w:t>
      </w:r>
      <w:r w:rsidR="00EC5DD6" w:rsidRPr="00EC5DD6">
        <w:rPr>
          <w:rFonts w:ascii="Times New Roman" w:hAnsi="Times New Roman" w:cs="Times New Roman"/>
          <w:sz w:val="24"/>
          <w:szCs w:val="24"/>
        </w:rPr>
        <w:t>strade extraurbane sono il 3,8</w:t>
      </w:r>
      <w:r w:rsidRPr="00EC5DD6">
        <w:rPr>
          <w:rFonts w:ascii="Times New Roman" w:hAnsi="Times New Roman" w:cs="Times New Roman"/>
          <w:sz w:val="24"/>
          <w:szCs w:val="24"/>
        </w:rPr>
        <w:t>%.</w:t>
      </w:r>
    </w:p>
    <w:p w:rsidR="003C54B8" w:rsidRDefault="003C54B8" w:rsidP="00E676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59F7">
        <w:rPr>
          <w:rFonts w:ascii="Times New Roman" w:hAnsi="Times New Roman" w:cs="Times New Roman"/>
          <w:sz w:val="24"/>
          <w:szCs w:val="24"/>
        </w:rPr>
        <w:t>Rispetto all’anno 2010 il numero di decessi nei grandi comuni, punto di riferimento per l’obiettivo europeo 2020, nel 2015</w:t>
      </w:r>
      <w:r w:rsidR="00681E01">
        <w:rPr>
          <w:rFonts w:ascii="Times New Roman" w:hAnsi="Times New Roman" w:cs="Times New Roman"/>
          <w:sz w:val="24"/>
          <w:szCs w:val="24"/>
        </w:rPr>
        <w:t xml:space="preserve"> scende solo</w:t>
      </w:r>
      <w:r w:rsidRPr="006C59F7">
        <w:rPr>
          <w:rFonts w:ascii="Times New Roman" w:hAnsi="Times New Roman" w:cs="Times New Roman"/>
          <w:sz w:val="24"/>
          <w:szCs w:val="24"/>
        </w:rPr>
        <w:t xml:space="preserve"> del </w:t>
      </w:r>
      <w:r w:rsidR="00EC5DD6">
        <w:rPr>
          <w:rFonts w:ascii="Times New Roman" w:hAnsi="Times New Roman" w:cs="Times New Roman"/>
          <w:sz w:val="24"/>
          <w:szCs w:val="24"/>
        </w:rPr>
        <w:t xml:space="preserve">16,3% (in media </w:t>
      </w:r>
      <w:r w:rsidRPr="006C59F7">
        <w:rPr>
          <w:rFonts w:ascii="Times New Roman" w:hAnsi="Times New Roman" w:cs="Times New Roman"/>
          <w:sz w:val="24"/>
          <w:szCs w:val="24"/>
        </w:rPr>
        <w:t>Italia -16,</w:t>
      </w:r>
      <w:r w:rsidR="00681E01">
        <w:rPr>
          <w:rFonts w:ascii="Times New Roman" w:hAnsi="Times New Roman" w:cs="Times New Roman"/>
          <w:sz w:val="24"/>
          <w:szCs w:val="24"/>
        </w:rPr>
        <w:t>7</w:t>
      </w:r>
      <w:r w:rsidRPr="006C59F7">
        <w:rPr>
          <w:rFonts w:ascii="Times New Roman" w:hAnsi="Times New Roman" w:cs="Times New Roman"/>
          <w:sz w:val="24"/>
          <w:szCs w:val="24"/>
        </w:rPr>
        <w:t xml:space="preserve">%), </w:t>
      </w:r>
      <w:r w:rsidR="00EC5DD6">
        <w:rPr>
          <w:rFonts w:ascii="Times New Roman" w:hAnsi="Times New Roman" w:cs="Times New Roman"/>
          <w:sz w:val="24"/>
          <w:szCs w:val="24"/>
        </w:rPr>
        <w:t>tale</w:t>
      </w:r>
      <w:r w:rsidR="00681E01">
        <w:rPr>
          <w:rFonts w:ascii="Times New Roman" w:hAnsi="Times New Roman" w:cs="Times New Roman"/>
          <w:sz w:val="24"/>
          <w:szCs w:val="24"/>
        </w:rPr>
        <w:t xml:space="preserve"> </w:t>
      </w:r>
      <w:r w:rsidR="00EC5DD6">
        <w:rPr>
          <w:rFonts w:ascii="Times New Roman" w:hAnsi="Times New Roman" w:cs="Times New Roman"/>
          <w:sz w:val="24"/>
          <w:szCs w:val="24"/>
        </w:rPr>
        <w:t>guadagno aveva raggiunto i</w:t>
      </w:r>
      <w:r w:rsidR="00681E01">
        <w:rPr>
          <w:rFonts w:ascii="Times New Roman" w:hAnsi="Times New Roman" w:cs="Times New Roman"/>
          <w:sz w:val="24"/>
          <w:szCs w:val="24"/>
        </w:rPr>
        <w:t xml:space="preserve">l </w:t>
      </w:r>
      <w:r w:rsidRPr="006C59F7">
        <w:rPr>
          <w:rFonts w:ascii="Times New Roman" w:hAnsi="Times New Roman" w:cs="Times New Roman"/>
          <w:sz w:val="24"/>
          <w:szCs w:val="24"/>
        </w:rPr>
        <w:t>25% nel 2014. I comuni nei quali la diminuzione delle vittime è stata più consistente sono Messina (-75,0%),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9F7">
        <w:rPr>
          <w:rFonts w:ascii="Times New Roman" w:hAnsi="Times New Roman" w:cs="Times New Roman"/>
          <w:sz w:val="24"/>
          <w:szCs w:val="24"/>
        </w:rPr>
        <w:t>Verona (-59,3%), Trieste (-54,5) e Palermo (-53,8%). A Torino  il numero di vittime è risultato in aumento rispetto al 2010</w:t>
      </w:r>
      <w:r>
        <w:rPr>
          <w:rFonts w:ascii="Times New Roman" w:hAnsi="Times New Roman" w:cs="Times New Roman"/>
          <w:sz w:val="24"/>
          <w:szCs w:val="24"/>
        </w:rPr>
        <w:t xml:space="preserve"> (+13,8%), a</w:t>
      </w:r>
      <w:r w:rsidRPr="006C59F7">
        <w:rPr>
          <w:rFonts w:ascii="Times New Roman" w:hAnsi="Times New Roman" w:cs="Times New Roman"/>
          <w:sz w:val="24"/>
          <w:szCs w:val="24"/>
        </w:rPr>
        <w:t xml:space="preserve"> Venezia, invece</w:t>
      </w:r>
      <w:r>
        <w:rPr>
          <w:rFonts w:ascii="Times New Roman" w:hAnsi="Times New Roman" w:cs="Times New Roman"/>
          <w:sz w:val="24"/>
          <w:szCs w:val="24"/>
        </w:rPr>
        <w:t>, è rimasto</w:t>
      </w:r>
      <w:r w:rsidRPr="006C59F7">
        <w:rPr>
          <w:rFonts w:ascii="Times New Roman" w:hAnsi="Times New Roman" w:cs="Times New Roman"/>
          <w:sz w:val="24"/>
          <w:szCs w:val="24"/>
        </w:rPr>
        <w:t xml:space="preserve"> invariato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59F7" w:rsidRDefault="006C59F7" w:rsidP="00681E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59F7">
        <w:rPr>
          <w:rFonts w:ascii="Times New Roman" w:hAnsi="Times New Roman" w:cs="Times New Roman"/>
          <w:sz w:val="24"/>
          <w:szCs w:val="24"/>
        </w:rPr>
        <w:t>Il tasso di mortalità stradale, per il complesso dei grandi comuni, sale</w:t>
      </w:r>
      <w:r w:rsidR="00681E01">
        <w:rPr>
          <w:rFonts w:ascii="Times New Roman" w:hAnsi="Times New Roman" w:cs="Times New Roman"/>
          <w:sz w:val="24"/>
          <w:szCs w:val="24"/>
        </w:rPr>
        <w:t>, tra il 2015 e il 2014,</w:t>
      </w:r>
      <w:r w:rsidRPr="006C59F7">
        <w:rPr>
          <w:rFonts w:ascii="Times New Roman" w:hAnsi="Times New Roman" w:cs="Times New Roman"/>
          <w:sz w:val="24"/>
          <w:szCs w:val="24"/>
        </w:rPr>
        <w:t xml:space="preserve"> da 4,1 a 4,5 morti per 100 mila abitanti, valore comunque più contenuto rispetto alla media nazionale di 5,6.</w:t>
      </w:r>
      <w:r w:rsidR="00EC5DD6">
        <w:rPr>
          <w:rFonts w:ascii="Times New Roman" w:hAnsi="Times New Roman" w:cs="Times New Roman"/>
          <w:sz w:val="24"/>
          <w:szCs w:val="24"/>
        </w:rPr>
        <w:t xml:space="preserve"> </w:t>
      </w:r>
      <w:r w:rsidRPr="006C59F7">
        <w:rPr>
          <w:rFonts w:ascii="Times New Roman" w:hAnsi="Times New Roman" w:cs="Times New Roman"/>
          <w:sz w:val="24"/>
          <w:szCs w:val="24"/>
        </w:rPr>
        <w:t>Nel 2015 il numero di morti per 100 mila abitanti varia tra 6,5 di Bologna e 1,7 di Messina (</w:t>
      </w:r>
      <w:r w:rsidR="00E51AE6">
        <w:rPr>
          <w:rFonts w:ascii="Times New Roman" w:hAnsi="Times New Roman" w:cs="Times New Roman"/>
          <w:sz w:val="24"/>
          <w:szCs w:val="24"/>
        </w:rPr>
        <w:t>Tab.</w:t>
      </w:r>
      <w:r w:rsidRPr="006C59F7">
        <w:rPr>
          <w:rFonts w:ascii="Times New Roman" w:hAnsi="Times New Roman" w:cs="Times New Roman"/>
          <w:sz w:val="24"/>
          <w:szCs w:val="24"/>
        </w:rPr>
        <w:t xml:space="preserve"> </w:t>
      </w:r>
      <w:r w:rsidR="00E51AE6">
        <w:rPr>
          <w:rFonts w:ascii="Times New Roman" w:hAnsi="Times New Roman" w:cs="Times New Roman"/>
          <w:sz w:val="24"/>
          <w:szCs w:val="24"/>
        </w:rPr>
        <w:t>8</w:t>
      </w:r>
      <w:r w:rsidRPr="006C59F7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433" w:rsidRDefault="001D0433" w:rsidP="006C5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59F7" w:rsidRPr="00D71C04" w:rsidRDefault="00E51AE6" w:rsidP="006C59F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1C04">
        <w:rPr>
          <w:rFonts w:ascii="Times New Roman" w:hAnsi="Times New Roman" w:cs="Times New Roman"/>
          <w:b/>
          <w:sz w:val="24"/>
          <w:szCs w:val="24"/>
        </w:rPr>
        <w:t>Tab</w:t>
      </w:r>
      <w:r w:rsidR="006C59F7" w:rsidRPr="00D71C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1C04">
        <w:rPr>
          <w:rFonts w:ascii="Times New Roman" w:hAnsi="Times New Roman" w:cs="Times New Roman"/>
          <w:b/>
          <w:sz w:val="24"/>
          <w:szCs w:val="24"/>
        </w:rPr>
        <w:t>8</w:t>
      </w:r>
      <w:r w:rsidR="006C59F7" w:rsidRPr="00D71C04">
        <w:rPr>
          <w:rFonts w:ascii="Times New Roman" w:hAnsi="Times New Roman" w:cs="Times New Roman"/>
          <w:b/>
          <w:sz w:val="24"/>
          <w:szCs w:val="24"/>
        </w:rPr>
        <w:t xml:space="preserve">. Incidenti stradali con lesioni a persone e vittime per categoria della strada nei grandi Comuni italiani. </w:t>
      </w:r>
      <w:r w:rsidR="00681E01" w:rsidRPr="00D71C04">
        <w:rPr>
          <w:rFonts w:ascii="Times New Roman" w:hAnsi="Times New Roman" w:cs="Times New Roman"/>
          <w:b/>
          <w:sz w:val="24"/>
          <w:szCs w:val="24"/>
        </w:rPr>
        <w:t>Anno</w:t>
      </w:r>
      <w:r w:rsidR="006C59F7" w:rsidRPr="00D71C04">
        <w:rPr>
          <w:rFonts w:ascii="Times New Roman" w:hAnsi="Times New Roman" w:cs="Times New Roman"/>
          <w:b/>
          <w:sz w:val="24"/>
          <w:szCs w:val="24"/>
        </w:rPr>
        <w:t xml:space="preserve"> 2015</w:t>
      </w:r>
      <w:r w:rsidR="00837FA1" w:rsidRPr="00D71C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E01" w:rsidRPr="00D71C04">
        <w:rPr>
          <w:rFonts w:ascii="Times New Roman" w:hAnsi="Times New Roman" w:cs="Times New Roman"/>
          <w:sz w:val="24"/>
          <w:szCs w:val="24"/>
        </w:rPr>
        <w:t>(</w:t>
      </w:r>
      <w:r w:rsidR="006C59F7" w:rsidRPr="00D71C04">
        <w:rPr>
          <w:rFonts w:ascii="Times New Roman" w:hAnsi="Times New Roman" w:cs="Times New Roman"/>
          <w:i/>
          <w:sz w:val="24"/>
          <w:szCs w:val="24"/>
        </w:rPr>
        <w:t>valori assoluti, variazione percentuale</w:t>
      </w:r>
      <w:r w:rsidR="00681E01" w:rsidRPr="00D71C04">
        <w:rPr>
          <w:rFonts w:ascii="Times New Roman" w:hAnsi="Times New Roman" w:cs="Times New Roman"/>
          <w:i/>
          <w:sz w:val="24"/>
          <w:szCs w:val="24"/>
        </w:rPr>
        <w:t>,</w:t>
      </w:r>
      <w:r w:rsidR="00516126" w:rsidRPr="00D71C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7FA1" w:rsidRPr="00D71C04">
        <w:rPr>
          <w:rFonts w:ascii="Times New Roman" w:hAnsi="Times New Roman" w:cs="Times New Roman"/>
          <w:i/>
          <w:sz w:val="24"/>
          <w:szCs w:val="24"/>
        </w:rPr>
        <w:t>tasso di mortalità stradale</w:t>
      </w:r>
      <w:r w:rsidR="00681E01" w:rsidRPr="00D71C0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W w:w="9796" w:type="dxa"/>
        <w:tblInd w:w="5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4"/>
        <w:gridCol w:w="767"/>
        <w:gridCol w:w="767"/>
        <w:gridCol w:w="768"/>
        <w:gridCol w:w="767"/>
        <w:gridCol w:w="767"/>
        <w:gridCol w:w="768"/>
        <w:gridCol w:w="904"/>
        <w:gridCol w:w="904"/>
        <w:gridCol w:w="1205"/>
        <w:gridCol w:w="1205"/>
      </w:tblGrid>
      <w:tr w:rsidR="003C54B8" w:rsidRPr="004E10EB" w:rsidTr="005C7798">
        <w:trPr>
          <w:trHeight w:hRule="exact" w:val="525"/>
        </w:trPr>
        <w:tc>
          <w:tcPr>
            <w:tcW w:w="9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4B8" w:rsidRPr="004E10EB" w:rsidRDefault="003C54B8" w:rsidP="00041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GRANDI COMUNI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4B8" w:rsidRPr="004E10EB" w:rsidRDefault="003C54B8" w:rsidP="003C54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Strade urbane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4B8" w:rsidRPr="004E10EB" w:rsidRDefault="003C54B8" w:rsidP="003C54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Strade extraurbane </w:t>
            </w:r>
            <w:r w:rsidRPr="004E10EB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(b)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4B8" w:rsidRPr="004E10EB" w:rsidRDefault="003C54B8" w:rsidP="00837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Variazione % totale morti 201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/201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4B8" w:rsidRPr="004E10EB" w:rsidRDefault="003C54B8" w:rsidP="00837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Variazione % totale morti 201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/201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7FA1" w:rsidRDefault="003C54B8" w:rsidP="00837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Tasso di mortalità stradale. </w:t>
            </w:r>
          </w:p>
          <w:p w:rsidR="00837FA1" w:rsidRDefault="003C54B8" w:rsidP="00837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Anno </w:t>
            </w:r>
            <w:r w:rsidRPr="000917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2015 </w:t>
            </w:r>
          </w:p>
          <w:p w:rsidR="003C54B8" w:rsidRPr="004E10EB" w:rsidRDefault="00837FA1" w:rsidP="00837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(per 100.000</w:t>
            </w:r>
            <w:r w:rsidR="003C54B8" w:rsidRPr="000917BA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  <w:r w:rsidR="003C54B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7FA1" w:rsidRDefault="003C54B8" w:rsidP="00837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Tasso di mortalità stradale.</w:t>
            </w:r>
          </w:p>
          <w:p w:rsidR="003C54B8" w:rsidRDefault="003C54B8" w:rsidP="00837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Anno 2014</w:t>
            </w:r>
          </w:p>
          <w:p w:rsidR="003C54B8" w:rsidRPr="004E10EB" w:rsidRDefault="00837FA1" w:rsidP="00837F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(per 100.000</w:t>
            </w:r>
            <w:r w:rsidR="003C54B8" w:rsidRPr="000917BA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  <w:r w:rsidR="003C54B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</w:tr>
      <w:tr w:rsidR="003C54B8" w:rsidRPr="004E10EB" w:rsidTr="005C7798">
        <w:trPr>
          <w:trHeight w:hRule="exact" w:val="530"/>
        </w:trPr>
        <w:tc>
          <w:tcPr>
            <w:tcW w:w="9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4B8" w:rsidRPr="004E10EB" w:rsidRDefault="003C54B8" w:rsidP="0051241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4B8" w:rsidRPr="004E10EB" w:rsidRDefault="003C54B8" w:rsidP="00E74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Incidenti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4B8" w:rsidRPr="004E10EB" w:rsidRDefault="003C54B8" w:rsidP="00E74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Morti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54B8" w:rsidRPr="004E10EB" w:rsidRDefault="003C54B8" w:rsidP="00E74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Feriti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4B8" w:rsidRPr="004E10EB" w:rsidRDefault="003C54B8" w:rsidP="00E74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Incidenti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4B8" w:rsidRPr="004E10EB" w:rsidRDefault="003C54B8" w:rsidP="00E74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Morti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4B8" w:rsidRPr="00E74BA3" w:rsidRDefault="003C54B8" w:rsidP="00E74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Feriti</w:t>
            </w:r>
          </w:p>
        </w:tc>
        <w:tc>
          <w:tcPr>
            <w:tcW w:w="9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4B8" w:rsidRPr="004E10EB" w:rsidRDefault="003C54B8" w:rsidP="0051241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4B8" w:rsidRPr="004E10EB" w:rsidRDefault="003C54B8" w:rsidP="0051241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4B8" w:rsidRPr="004E10EB" w:rsidRDefault="003C54B8" w:rsidP="0051241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4B8" w:rsidRPr="004E10EB" w:rsidRDefault="003C54B8" w:rsidP="0051241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Torino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3.083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4.648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+50,0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Milano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8.503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11.118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347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+26,2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-8,6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Verona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1.183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1.471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-35,3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-59,3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Venezia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494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623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283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+37,5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Trieste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912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1.122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FE4B9D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-44,4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-54,5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Genova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4.114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5.023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327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+61,1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-9,4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Bologna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1.648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2.093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224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367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+38,9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-10,7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Firenze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2.527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3.041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+21,1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-8,0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Roma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11.512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14.727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1.616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2.426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+12,3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-4,9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Napoli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1.959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2.621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327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+12,0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-20,0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Bari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2.134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349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+25,0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Palermo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2.052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2.701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-25,0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-53,8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Messina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583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889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-69,2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-75,0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4E10EB" w:rsidRDefault="003C54B8" w:rsidP="00512414">
            <w:pPr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E10EB">
              <w:rPr>
                <w:rFonts w:ascii="Times New Roman" w:hAnsi="Times New Roman" w:cs="Times New Roman"/>
                <w:sz w:val="16"/>
                <w:szCs w:val="16"/>
              </w:rPr>
              <w:t>Catania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1.144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1.564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D17055" w:rsidRDefault="00FE4B9D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sz w:val="16"/>
                <w:szCs w:val="16"/>
              </w:rPr>
              <w:t>-5,6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sz w:val="16"/>
                <w:szCs w:val="16"/>
              </w:rPr>
              <w:t>-26,1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4B8" w:rsidRPr="00D17055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17055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</w:tr>
      <w:tr w:rsidR="003C54B8" w:rsidRPr="004E10EB" w:rsidTr="005C7798">
        <w:trPr>
          <w:trHeight w:hRule="exact" w:val="255"/>
        </w:trPr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6C59F7" w:rsidRDefault="003C54B8" w:rsidP="00512414">
            <w:pPr>
              <w:ind w:right="11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Totale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54B8" w:rsidRPr="006C59F7" w:rsidRDefault="003C54B8" w:rsidP="0004189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b/>
                <w:sz w:val="16"/>
                <w:szCs w:val="16"/>
              </w:rPr>
              <w:t>41.215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54B8" w:rsidRPr="006C59F7" w:rsidRDefault="003C54B8" w:rsidP="0004189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b/>
                <w:sz w:val="16"/>
                <w:szCs w:val="16"/>
              </w:rPr>
              <w:t>352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b/>
                <w:sz w:val="16"/>
                <w:szCs w:val="16"/>
              </w:rPr>
              <w:t>53.775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54B8" w:rsidRPr="006C59F7" w:rsidRDefault="003C54B8" w:rsidP="0004189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b/>
                <w:sz w:val="16"/>
                <w:szCs w:val="16"/>
              </w:rPr>
              <w:t>3.345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b/>
                <w:sz w:val="16"/>
                <w:szCs w:val="16"/>
              </w:rPr>
              <w:t>88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54B8" w:rsidRPr="000917BA" w:rsidRDefault="003C54B8" w:rsidP="0004189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b/>
                <w:sz w:val="16"/>
                <w:szCs w:val="16"/>
              </w:rPr>
              <w:t>5.188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b/>
                <w:sz w:val="16"/>
                <w:szCs w:val="16"/>
              </w:rPr>
              <w:t>+11,4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54B8" w:rsidRPr="000917BA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17BA">
              <w:rPr>
                <w:rFonts w:ascii="Times New Roman" w:hAnsi="Times New Roman" w:cs="Times New Roman"/>
                <w:b/>
                <w:sz w:val="16"/>
                <w:szCs w:val="16"/>
              </w:rPr>
              <w:t>-16,3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54B8" w:rsidRPr="006C59F7" w:rsidRDefault="003C54B8" w:rsidP="0004189C">
            <w:pPr>
              <w:ind w:right="113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59F7">
              <w:rPr>
                <w:rFonts w:ascii="Times New Roman" w:hAnsi="Times New Roman" w:cs="Times New Roman"/>
                <w:b/>
                <w:sz w:val="16"/>
                <w:szCs w:val="16"/>
              </w:rPr>
              <w:t>4,1</w:t>
            </w:r>
          </w:p>
        </w:tc>
      </w:tr>
    </w:tbl>
    <w:p w:rsidR="006C59F7" w:rsidRDefault="006C59F7" w:rsidP="006C59F7">
      <w:pPr>
        <w:pStyle w:val="Rientrocorpodeltesto3"/>
        <w:tabs>
          <w:tab w:val="clear" w:pos="-708"/>
          <w:tab w:val="clear" w:pos="0"/>
        </w:tabs>
        <w:ind w:left="5398" w:hanging="5398"/>
        <w:rPr>
          <w:rFonts w:cs="Arial"/>
          <w:color w:val="FFFFFF"/>
          <w:sz w:val="4"/>
          <w:szCs w:val="4"/>
        </w:rPr>
      </w:pPr>
    </w:p>
    <w:p w:rsidR="006C59F7" w:rsidRPr="00D17055" w:rsidRDefault="006C59F7" w:rsidP="00837FA1">
      <w:pPr>
        <w:pStyle w:val="Rientrocorpodeltesto3"/>
        <w:tabs>
          <w:tab w:val="clear" w:pos="-708"/>
          <w:tab w:val="clear" w:pos="0"/>
        </w:tabs>
        <w:spacing w:before="40"/>
        <w:ind w:firstLine="0"/>
        <w:rPr>
          <w:rFonts w:ascii="Times New Roman" w:hAnsi="Times New Roman"/>
          <w:sz w:val="16"/>
          <w:szCs w:val="16"/>
        </w:rPr>
      </w:pPr>
      <w:r w:rsidRPr="00D17055">
        <w:rPr>
          <w:rFonts w:ascii="Times New Roman" w:hAnsi="Times New Roman"/>
          <w:sz w:val="16"/>
          <w:szCs w:val="16"/>
        </w:rPr>
        <w:t>(a) Fonte: Rilevazione Istat degli incidenti stradali con lesioni a persone</w:t>
      </w:r>
      <w:r>
        <w:rPr>
          <w:rFonts w:ascii="Times New Roman" w:hAnsi="Times New Roman"/>
          <w:sz w:val="16"/>
          <w:szCs w:val="16"/>
        </w:rPr>
        <w:t xml:space="preserve">. </w:t>
      </w:r>
    </w:p>
    <w:p w:rsidR="006C59F7" w:rsidRPr="00D17055" w:rsidRDefault="006C59F7" w:rsidP="006C59F7">
      <w:pPr>
        <w:pStyle w:val="Rientrocorpodeltesto3"/>
        <w:tabs>
          <w:tab w:val="clear" w:pos="-708"/>
          <w:tab w:val="clear" w:pos="0"/>
        </w:tabs>
        <w:ind w:firstLine="0"/>
        <w:rPr>
          <w:rFonts w:ascii="Times New Roman" w:hAnsi="Times New Roman"/>
          <w:sz w:val="16"/>
          <w:szCs w:val="16"/>
        </w:rPr>
      </w:pPr>
      <w:r w:rsidRPr="00D17055">
        <w:rPr>
          <w:rFonts w:ascii="Times New Roman" w:hAnsi="Times New Roman"/>
          <w:sz w:val="16"/>
          <w:szCs w:val="16"/>
        </w:rPr>
        <w:t>(b) Sono incluse tra le strade extraurbane le strade Statali, Regionali e Provinciali fuori dall’abitato, Comunali extraurbane, Autostrade e raccordi.</w:t>
      </w:r>
    </w:p>
    <w:p w:rsidR="00552B5F" w:rsidRDefault="00552B5F" w:rsidP="00552B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37FA1" w:rsidRPr="00837FA1" w:rsidRDefault="00837FA1" w:rsidP="000418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189C">
        <w:rPr>
          <w:rFonts w:ascii="Times New Roman" w:hAnsi="Times New Roman" w:cs="Times New Roman"/>
          <w:sz w:val="24"/>
          <w:szCs w:val="24"/>
        </w:rPr>
        <w:t>Per</w:t>
      </w:r>
      <w:r w:rsidRPr="00837FA1">
        <w:rPr>
          <w:rFonts w:ascii="Times New Roman" w:hAnsi="Times New Roman"/>
          <w:sz w:val="24"/>
          <w:szCs w:val="24"/>
        </w:rPr>
        <w:t xml:space="preserve"> </w:t>
      </w:r>
      <w:r w:rsidR="00D71C04">
        <w:rPr>
          <w:rFonts w:ascii="Times New Roman" w:hAnsi="Times New Roman"/>
          <w:sz w:val="24"/>
          <w:szCs w:val="24"/>
        </w:rPr>
        <w:t xml:space="preserve">quanto riguarda il ruolo dei coinvolti in incidenti stradali, per </w:t>
      </w:r>
      <w:r w:rsidRPr="00837FA1">
        <w:rPr>
          <w:rFonts w:ascii="Times New Roman" w:hAnsi="Times New Roman"/>
          <w:sz w:val="24"/>
          <w:szCs w:val="24"/>
        </w:rPr>
        <w:t xml:space="preserve">il complesso dei grandi Comuni, la percentuale di conducenti deceduti sul totale delle vittime registrata è pari al </w:t>
      </w:r>
      <w:r w:rsidR="00036785">
        <w:rPr>
          <w:rFonts w:ascii="Times New Roman" w:hAnsi="Times New Roman"/>
          <w:sz w:val="24"/>
          <w:szCs w:val="24"/>
        </w:rPr>
        <w:t>59,5</w:t>
      </w:r>
      <w:r w:rsidRPr="00837FA1">
        <w:rPr>
          <w:rFonts w:ascii="Times New Roman" w:hAnsi="Times New Roman"/>
          <w:sz w:val="24"/>
          <w:szCs w:val="24"/>
        </w:rPr>
        <w:t xml:space="preserve">%, </w:t>
      </w:r>
      <w:r w:rsidR="00D71C04">
        <w:rPr>
          <w:rFonts w:ascii="Times New Roman" w:hAnsi="Times New Roman"/>
          <w:sz w:val="24"/>
          <w:szCs w:val="24"/>
        </w:rPr>
        <w:t xml:space="preserve">con </w:t>
      </w:r>
      <w:r w:rsidRPr="00837FA1">
        <w:rPr>
          <w:rFonts w:ascii="Times New Roman" w:hAnsi="Times New Roman"/>
          <w:sz w:val="24"/>
          <w:szCs w:val="24"/>
        </w:rPr>
        <w:t xml:space="preserve">una media nazionale del </w:t>
      </w:r>
      <w:r w:rsidR="00036785">
        <w:rPr>
          <w:rFonts w:ascii="Times New Roman" w:hAnsi="Times New Roman"/>
          <w:sz w:val="24"/>
          <w:szCs w:val="24"/>
        </w:rPr>
        <w:t>68</w:t>
      </w:r>
      <w:r w:rsidRPr="00837FA1">
        <w:rPr>
          <w:rFonts w:ascii="Times New Roman" w:hAnsi="Times New Roman"/>
          <w:sz w:val="24"/>
          <w:szCs w:val="24"/>
        </w:rPr>
        <w:t>,</w:t>
      </w:r>
      <w:r w:rsidR="00036785">
        <w:rPr>
          <w:rFonts w:ascii="Times New Roman" w:hAnsi="Times New Roman"/>
          <w:sz w:val="24"/>
          <w:szCs w:val="24"/>
        </w:rPr>
        <w:t>5</w:t>
      </w:r>
      <w:r w:rsidRPr="00837FA1">
        <w:rPr>
          <w:rFonts w:ascii="Times New Roman" w:hAnsi="Times New Roman"/>
          <w:sz w:val="24"/>
          <w:szCs w:val="24"/>
        </w:rPr>
        <w:t>%. Al contrario, per i pedoni deceduti a seguito di un investimento stradale</w:t>
      </w:r>
      <w:r w:rsidR="00D71C04">
        <w:rPr>
          <w:rFonts w:ascii="Times New Roman" w:hAnsi="Times New Roman"/>
          <w:sz w:val="24"/>
          <w:szCs w:val="24"/>
        </w:rPr>
        <w:t>, come atteso,</w:t>
      </w:r>
      <w:r w:rsidRPr="00837FA1">
        <w:rPr>
          <w:rFonts w:ascii="Times New Roman" w:hAnsi="Times New Roman"/>
          <w:sz w:val="24"/>
          <w:szCs w:val="24"/>
        </w:rPr>
        <w:t xml:space="preserve"> la quota è molto più elevata nei grandi centri urbani (3</w:t>
      </w:r>
      <w:r w:rsidR="00036785">
        <w:rPr>
          <w:rFonts w:ascii="Times New Roman" w:hAnsi="Times New Roman"/>
          <w:sz w:val="24"/>
          <w:szCs w:val="24"/>
        </w:rPr>
        <w:t>1,6</w:t>
      </w:r>
      <w:r w:rsidRPr="00837FA1">
        <w:rPr>
          <w:rFonts w:ascii="Times New Roman" w:hAnsi="Times New Roman"/>
          <w:sz w:val="24"/>
          <w:szCs w:val="24"/>
        </w:rPr>
        <w:t>%) rispetto alla media nazionale (1</w:t>
      </w:r>
      <w:r w:rsidR="00036785">
        <w:rPr>
          <w:rFonts w:ascii="Times New Roman" w:hAnsi="Times New Roman"/>
          <w:sz w:val="24"/>
          <w:szCs w:val="24"/>
        </w:rPr>
        <w:t>7</w:t>
      </w:r>
      <w:r w:rsidRPr="00837FA1">
        <w:rPr>
          <w:rFonts w:ascii="Times New Roman" w:hAnsi="Times New Roman"/>
          <w:sz w:val="24"/>
          <w:szCs w:val="24"/>
        </w:rPr>
        <w:t>,</w:t>
      </w:r>
      <w:r w:rsidR="00036785">
        <w:rPr>
          <w:rFonts w:ascii="Times New Roman" w:hAnsi="Times New Roman"/>
          <w:sz w:val="24"/>
          <w:szCs w:val="24"/>
        </w:rPr>
        <w:t>6</w:t>
      </w:r>
      <w:r w:rsidRPr="00837FA1">
        <w:rPr>
          <w:rFonts w:ascii="Times New Roman" w:hAnsi="Times New Roman"/>
          <w:sz w:val="24"/>
          <w:szCs w:val="24"/>
        </w:rPr>
        <w:t>%), in particolare a Roma (</w:t>
      </w:r>
      <w:r w:rsidR="00036785">
        <w:rPr>
          <w:rFonts w:ascii="Times New Roman" w:hAnsi="Times New Roman"/>
          <w:sz w:val="24"/>
          <w:szCs w:val="24"/>
        </w:rPr>
        <w:t>43</w:t>
      </w:r>
      <w:r w:rsidRPr="00837FA1">
        <w:rPr>
          <w:rFonts w:ascii="Times New Roman" w:hAnsi="Times New Roman"/>
          <w:sz w:val="24"/>
          <w:szCs w:val="24"/>
        </w:rPr>
        <w:t xml:space="preserve"> casi, pari al </w:t>
      </w:r>
      <w:r w:rsidR="0004189C">
        <w:rPr>
          <w:rFonts w:ascii="Times New Roman" w:hAnsi="Times New Roman"/>
          <w:sz w:val="24"/>
          <w:szCs w:val="24"/>
        </w:rPr>
        <w:t xml:space="preserve">30,9 </w:t>
      </w:r>
      <w:r w:rsidRPr="00837FA1">
        <w:rPr>
          <w:rFonts w:ascii="Times New Roman" w:hAnsi="Times New Roman"/>
          <w:sz w:val="24"/>
          <w:szCs w:val="24"/>
        </w:rPr>
        <w:t>% dei decessi di pedoni nei grandi comuni), Milano (</w:t>
      </w:r>
      <w:r w:rsidR="00036785">
        <w:rPr>
          <w:rFonts w:ascii="Times New Roman" w:hAnsi="Times New Roman"/>
          <w:sz w:val="24"/>
          <w:szCs w:val="24"/>
        </w:rPr>
        <w:t>20</w:t>
      </w:r>
      <w:r w:rsidRPr="00837FA1">
        <w:rPr>
          <w:rFonts w:ascii="Times New Roman" w:hAnsi="Times New Roman"/>
          <w:sz w:val="24"/>
          <w:szCs w:val="24"/>
        </w:rPr>
        <w:t xml:space="preserve"> casi, pari al </w:t>
      </w:r>
      <w:r w:rsidR="0004189C">
        <w:rPr>
          <w:rFonts w:ascii="Times New Roman" w:hAnsi="Times New Roman"/>
          <w:sz w:val="24"/>
          <w:szCs w:val="24"/>
        </w:rPr>
        <w:t>14</w:t>
      </w:r>
      <w:r w:rsidRPr="00837FA1">
        <w:rPr>
          <w:rFonts w:ascii="Times New Roman" w:hAnsi="Times New Roman"/>
          <w:sz w:val="24"/>
          <w:szCs w:val="24"/>
        </w:rPr>
        <w:t>,</w:t>
      </w:r>
      <w:r w:rsidR="0004189C">
        <w:rPr>
          <w:rFonts w:ascii="Times New Roman" w:hAnsi="Times New Roman"/>
          <w:sz w:val="24"/>
          <w:szCs w:val="24"/>
        </w:rPr>
        <w:t>4</w:t>
      </w:r>
      <w:r w:rsidRPr="00837FA1">
        <w:rPr>
          <w:rFonts w:ascii="Times New Roman" w:hAnsi="Times New Roman"/>
          <w:sz w:val="24"/>
          <w:szCs w:val="24"/>
        </w:rPr>
        <w:t>%), Torino (1</w:t>
      </w:r>
      <w:r w:rsidR="00036785">
        <w:rPr>
          <w:rFonts w:ascii="Times New Roman" w:hAnsi="Times New Roman"/>
          <w:sz w:val="24"/>
          <w:szCs w:val="24"/>
        </w:rPr>
        <w:t>3</w:t>
      </w:r>
      <w:r w:rsidRPr="00837FA1">
        <w:rPr>
          <w:rFonts w:ascii="Times New Roman" w:hAnsi="Times New Roman"/>
          <w:sz w:val="24"/>
          <w:szCs w:val="24"/>
        </w:rPr>
        <w:t xml:space="preserve"> casi pari al 9,4%) (</w:t>
      </w:r>
      <w:r>
        <w:rPr>
          <w:rFonts w:ascii="Times New Roman" w:hAnsi="Times New Roman"/>
          <w:sz w:val="24"/>
          <w:szCs w:val="24"/>
        </w:rPr>
        <w:t>Tab.9</w:t>
      </w:r>
      <w:r w:rsidRPr="00837FA1">
        <w:rPr>
          <w:rFonts w:ascii="Times New Roman" w:hAnsi="Times New Roman"/>
          <w:sz w:val="24"/>
          <w:szCs w:val="24"/>
        </w:rPr>
        <w:t>).</w:t>
      </w:r>
    </w:p>
    <w:p w:rsidR="00552B5F" w:rsidRDefault="00552B5F" w:rsidP="00552B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1C04" w:rsidRDefault="00D71C04" w:rsidP="00552B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1C04" w:rsidRDefault="00D71C04" w:rsidP="00552B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1C04" w:rsidRDefault="00D71C04" w:rsidP="00552B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1C04" w:rsidRDefault="00D71C04" w:rsidP="00552B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1C04" w:rsidRDefault="00D71C04" w:rsidP="00552B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1C04" w:rsidRDefault="00D71C04" w:rsidP="00552B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1C04" w:rsidRDefault="00D71C04" w:rsidP="00552B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2B5F" w:rsidRPr="00D71C04" w:rsidRDefault="00552B5F" w:rsidP="00552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1C0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Tab. </w:t>
      </w:r>
      <w:r w:rsidR="00837FA1" w:rsidRPr="00D71C04">
        <w:rPr>
          <w:rFonts w:ascii="Times New Roman" w:hAnsi="Times New Roman" w:cs="Times New Roman"/>
          <w:b/>
          <w:sz w:val="24"/>
          <w:szCs w:val="24"/>
        </w:rPr>
        <w:t>9</w:t>
      </w:r>
      <w:r w:rsidRPr="00D71C04">
        <w:rPr>
          <w:rFonts w:ascii="Times New Roman" w:hAnsi="Times New Roman" w:cs="Times New Roman"/>
          <w:b/>
          <w:sz w:val="24"/>
          <w:szCs w:val="24"/>
        </w:rPr>
        <w:t xml:space="preserve"> - Conducenti, persone trasportate e pedoni, morti e feriti nei grandi Comuni </w:t>
      </w:r>
      <w:r w:rsidR="00D71C04">
        <w:rPr>
          <w:rFonts w:ascii="Times New Roman" w:hAnsi="Times New Roman" w:cs="Times New Roman"/>
          <w:b/>
          <w:sz w:val="24"/>
          <w:szCs w:val="24"/>
        </w:rPr>
        <w:t xml:space="preserve">italiani. </w:t>
      </w:r>
      <w:r w:rsidRPr="00D71C04">
        <w:rPr>
          <w:rFonts w:ascii="Times New Roman" w:hAnsi="Times New Roman" w:cs="Times New Roman"/>
          <w:b/>
          <w:sz w:val="24"/>
          <w:szCs w:val="24"/>
        </w:rPr>
        <w:t xml:space="preserve"> Anno 2015</w:t>
      </w:r>
    </w:p>
    <w:tbl>
      <w:tblPr>
        <w:tblW w:w="9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100"/>
        <w:gridCol w:w="1360"/>
        <w:gridCol w:w="920"/>
        <w:gridCol w:w="860"/>
        <w:gridCol w:w="1180"/>
        <w:gridCol w:w="1100"/>
        <w:gridCol w:w="940"/>
        <w:gridCol w:w="1020"/>
      </w:tblGrid>
      <w:tr w:rsidR="00552B5F" w:rsidRPr="00EF756A" w:rsidTr="00837FA1">
        <w:trPr>
          <w:trHeight w:val="463"/>
        </w:trPr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B5F" w:rsidRPr="00EF756A" w:rsidRDefault="00D71C04" w:rsidP="0083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GRANDI </w:t>
            </w:r>
            <w:r w:rsidR="00552B5F" w:rsidRPr="00EF75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COMUNI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B5F" w:rsidRPr="00EF756A" w:rsidRDefault="00552B5F" w:rsidP="0083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F7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Conducenti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B5F" w:rsidRPr="00EF756A" w:rsidRDefault="00552B5F" w:rsidP="0083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F7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Persone trasportate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B5F" w:rsidRPr="00EF756A" w:rsidRDefault="00552B5F" w:rsidP="0083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F7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Pedoni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B5F" w:rsidRPr="00EF756A" w:rsidRDefault="00552B5F" w:rsidP="0083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F7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B5F" w:rsidRPr="00EF756A" w:rsidRDefault="00552B5F" w:rsidP="0083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F7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Conducenti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B5F" w:rsidRPr="00EF756A" w:rsidRDefault="00552B5F" w:rsidP="0083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F7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Persone trasportate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B5F" w:rsidRPr="00EF756A" w:rsidRDefault="00552B5F" w:rsidP="0083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F7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Pedoni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B5F" w:rsidRPr="00EF756A" w:rsidRDefault="00552B5F" w:rsidP="0083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F7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Totale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42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MORTI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FERITI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Torino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3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13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33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2.770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1.391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604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4.765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Milano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29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4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20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53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7.914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2.187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1.364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11.465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Verona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3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2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11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1.199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265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154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1.618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Venezia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1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3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11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601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217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88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906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Trieste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1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3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808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209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181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1.198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Genova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19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2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8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29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3.475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1.137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738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5.350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Bologna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14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 -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11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25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1.678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489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293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2.460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Firenze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13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 -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10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23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2.249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398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428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3.075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Roma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114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16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43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173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11.651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3.520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1.982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17.153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Napoli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16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3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9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28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1.836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735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377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2.948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1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2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10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1.355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860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268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2.483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Palermo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3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7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18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1.872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618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297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2.787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Messina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 -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2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4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711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312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76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1.099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Catania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          2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6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17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1.010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   455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 191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          1.656 </w:t>
            </w:r>
          </w:p>
        </w:tc>
      </w:tr>
      <w:tr w:rsidR="00552B5F" w:rsidRPr="0048685F" w:rsidTr="00EF756A">
        <w:trPr>
          <w:trHeight w:hRule="exact" w:val="238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  262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          39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139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440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39.129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12.793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7.041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B5F" w:rsidRPr="0048685F" w:rsidRDefault="00552B5F" w:rsidP="00EF7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6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58.963 </w:t>
            </w:r>
          </w:p>
        </w:tc>
      </w:tr>
    </w:tbl>
    <w:p w:rsidR="00552B5F" w:rsidRPr="00A548A2" w:rsidRDefault="00552B5F" w:rsidP="00552B5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9474C">
        <w:rPr>
          <w:rFonts w:ascii="Times New Roman" w:hAnsi="Times New Roman" w:cs="Times New Roman"/>
          <w:i/>
          <w:sz w:val="18"/>
          <w:szCs w:val="18"/>
        </w:rPr>
        <w:t xml:space="preserve">Fonte: </w:t>
      </w:r>
      <w:r w:rsidRPr="00A548A2">
        <w:rPr>
          <w:rFonts w:ascii="Times New Roman" w:hAnsi="Times New Roman" w:cs="Times New Roman"/>
          <w:sz w:val="18"/>
          <w:szCs w:val="18"/>
        </w:rPr>
        <w:t>Istat, Rilevazione degli incidenti stradali con lesione a persone.</w:t>
      </w:r>
    </w:p>
    <w:p w:rsidR="00552B5F" w:rsidRDefault="00552B5F" w:rsidP="005D778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837FA1" w:rsidRDefault="00837FA1" w:rsidP="005D778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5D7786" w:rsidRDefault="006F4311" w:rsidP="005D778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Appendice (cfr. </w:t>
      </w:r>
      <w:r w:rsidR="008D2007">
        <w:rPr>
          <w:rFonts w:ascii="Times New Roman" w:hAnsi="Times New Roman" w:cs="Times New Roman"/>
          <w:sz w:val="24"/>
          <w:szCs w:val="24"/>
        </w:rPr>
        <w:t xml:space="preserve">file contenuto nella sottocartella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F81F99">
        <w:rPr>
          <w:rFonts w:ascii="Times New Roman" w:hAnsi="Times New Roman" w:cs="Times New Roman"/>
          <w:sz w:val="24"/>
          <w:szCs w:val="24"/>
        </w:rPr>
        <w:t xml:space="preserve">Appendice </w:t>
      </w:r>
      <w:r w:rsidR="00DD1AFF">
        <w:rPr>
          <w:rFonts w:ascii="Times New Roman" w:hAnsi="Times New Roman" w:cs="Times New Roman"/>
          <w:sz w:val="24"/>
          <w:szCs w:val="24"/>
        </w:rPr>
        <w:t xml:space="preserve">- </w:t>
      </w:r>
      <w:r w:rsidR="00E7180D">
        <w:rPr>
          <w:rFonts w:ascii="Times New Roman" w:hAnsi="Times New Roman" w:cs="Times New Roman"/>
          <w:sz w:val="24"/>
          <w:szCs w:val="24"/>
        </w:rPr>
        <w:t>C</w:t>
      </w:r>
      <w:r w:rsidR="005D7786">
        <w:rPr>
          <w:rFonts w:ascii="Times New Roman" w:hAnsi="Times New Roman" w:cs="Times New Roman"/>
          <w:sz w:val="24"/>
          <w:szCs w:val="24"/>
        </w:rPr>
        <w:t>ontributo Istat”) sono riportate, oltre a tutte le tabelle e le figure contenute nel presente contributo, anche i seguenti, dettagliati prospetti:</w:t>
      </w:r>
    </w:p>
    <w:p w:rsidR="005D7786" w:rsidRDefault="005D7786" w:rsidP="005D7786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5D7786" w:rsidRDefault="005D7786" w:rsidP="005D778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tasso di mortalità per incidente stradale per Provincia e Ripartizione Geografica  (morti/popol</w:t>
      </w:r>
      <w:r w:rsidR="00DC7612">
        <w:rPr>
          <w:rFonts w:ascii="Times New Roman" w:hAnsi="Times New Roman" w:cs="Times New Roman"/>
          <w:sz w:val="24"/>
          <w:szCs w:val="24"/>
        </w:rPr>
        <w:t xml:space="preserve">azione media residente *100000 </w:t>
      </w:r>
      <w:r>
        <w:rPr>
          <w:rFonts w:ascii="Times New Roman" w:hAnsi="Times New Roman" w:cs="Times New Roman"/>
          <w:sz w:val="24"/>
          <w:szCs w:val="24"/>
        </w:rPr>
        <w:t>- Anni 2001-201</w:t>
      </w:r>
      <w:r w:rsidR="006A2BD2">
        <w:rPr>
          <w:rFonts w:ascii="Times New Roman" w:hAnsi="Times New Roman" w:cs="Times New Roman"/>
          <w:sz w:val="24"/>
          <w:szCs w:val="24"/>
        </w:rPr>
        <w:t>5</w:t>
      </w:r>
      <w:r w:rsidR="00DC7612">
        <w:rPr>
          <w:rFonts w:ascii="Times New Roman" w:hAnsi="Times New Roman" w:cs="Times New Roman"/>
          <w:sz w:val="24"/>
          <w:szCs w:val="24"/>
        </w:rPr>
        <w:t>)</w:t>
      </w:r>
      <w:r w:rsidR="005579ED">
        <w:rPr>
          <w:rFonts w:ascii="Times New Roman" w:hAnsi="Times New Roman" w:cs="Times New Roman"/>
          <w:sz w:val="24"/>
          <w:szCs w:val="24"/>
        </w:rPr>
        <w:t>;</w:t>
      </w:r>
    </w:p>
    <w:p w:rsidR="005D7786" w:rsidRDefault="005D7786" w:rsidP="005D778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tasso di lesività per incidente stradale per Provincia e Ripartizione Geografica (feriti /popo</w:t>
      </w:r>
      <w:r w:rsidR="00DC7612">
        <w:rPr>
          <w:rFonts w:ascii="Times New Roman" w:hAnsi="Times New Roman" w:cs="Times New Roman"/>
          <w:sz w:val="24"/>
          <w:szCs w:val="24"/>
        </w:rPr>
        <w:t xml:space="preserve">lazione media residente *100000 </w:t>
      </w:r>
      <w:r>
        <w:rPr>
          <w:rFonts w:ascii="Times New Roman" w:hAnsi="Times New Roman" w:cs="Times New Roman"/>
          <w:sz w:val="24"/>
          <w:szCs w:val="24"/>
        </w:rPr>
        <w:t>- Anni 2001-201</w:t>
      </w:r>
      <w:r w:rsidR="006A2BD2">
        <w:rPr>
          <w:rFonts w:ascii="Times New Roman" w:hAnsi="Times New Roman" w:cs="Times New Roman"/>
          <w:sz w:val="24"/>
          <w:szCs w:val="24"/>
        </w:rPr>
        <w:t>5</w:t>
      </w:r>
      <w:r w:rsidR="00DC7612">
        <w:rPr>
          <w:rFonts w:ascii="Times New Roman" w:hAnsi="Times New Roman" w:cs="Times New Roman"/>
          <w:sz w:val="24"/>
          <w:szCs w:val="24"/>
        </w:rPr>
        <w:t>)</w:t>
      </w:r>
      <w:r w:rsidR="005579ED">
        <w:rPr>
          <w:rFonts w:ascii="Times New Roman" w:hAnsi="Times New Roman" w:cs="Times New Roman"/>
          <w:sz w:val="24"/>
          <w:szCs w:val="24"/>
        </w:rPr>
        <w:t>.</w:t>
      </w:r>
    </w:p>
    <w:p w:rsidR="007872EA" w:rsidRDefault="007872EA" w:rsidP="0078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2EA" w:rsidRPr="007872EA" w:rsidRDefault="007872EA" w:rsidP="007872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72EA">
        <w:rPr>
          <w:rFonts w:ascii="Times New Roman" w:hAnsi="Times New Roman" w:cs="Times New Roman"/>
          <w:b/>
          <w:sz w:val="24"/>
          <w:szCs w:val="24"/>
        </w:rPr>
        <w:t>Riferimenti bibliografici:</w:t>
      </w:r>
    </w:p>
    <w:p w:rsidR="007872EA" w:rsidRDefault="007872EA" w:rsidP="0078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2EA" w:rsidRPr="007872EA" w:rsidRDefault="007872EA" w:rsidP="0078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2EA">
        <w:rPr>
          <w:rFonts w:ascii="Times New Roman" w:hAnsi="Times New Roman" w:cs="Times New Roman"/>
          <w:sz w:val="24"/>
          <w:szCs w:val="24"/>
        </w:rPr>
        <w:t>Istat - Incidenti stradali in Italia. Anno 2015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872EA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871235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http://www.istat.it/it/archivio/192204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2EA" w:rsidRPr="007872EA" w:rsidRDefault="007872EA" w:rsidP="0078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2EA">
        <w:rPr>
          <w:rFonts w:ascii="Times New Roman" w:hAnsi="Times New Roman" w:cs="Times New Roman"/>
          <w:sz w:val="24"/>
          <w:szCs w:val="24"/>
        </w:rPr>
        <w:t xml:space="preserve">Istat - Incidenti stradali in Italia. </w:t>
      </w:r>
      <w:r>
        <w:rPr>
          <w:rFonts w:ascii="Times New Roman" w:hAnsi="Times New Roman" w:cs="Times New Roman"/>
          <w:sz w:val="24"/>
          <w:szCs w:val="24"/>
        </w:rPr>
        <w:t xml:space="preserve">Anno 2014  </w:t>
      </w:r>
      <w:r w:rsidRPr="007872EA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871235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http://www.istat.it/it/archivio/172481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2EA" w:rsidRPr="007872EA" w:rsidRDefault="007872EA" w:rsidP="0078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872EA" w:rsidRPr="007872EA" w:rsidSect="0060283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132" w:rsidRDefault="00591132" w:rsidP="00A61E39">
      <w:pPr>
        <w:spacing w:after="0" w:line="240" w:lineRule="auto"/>
      </w:pPr>
      <w:r>
        <w:separator/>
      </w:r>
    </w:p>
  </w:endnote>
  <w:endnote w:type="continuationSeparator" w:id="0">
    <w:p w:rsidR="00591132" w:rsidRDefault="00591132" w:rsidP="00A61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132" w:rsidRDefault="00591132" w:rsidP="00A61E39">
      <w:pPr>
        <w:spacing w:after="0" w:line="240" w:lineRule="auto"/>
      </w:pPr>
      <w:r>
        <w:separator/>
      </w:r>
    </w:p>
  </w:footnote>
  <w:footnote w:type="continuationSeparator" w:id="0">
    <w:p w:rsidR="00591132" w:rsidRDefault="00591132" w:rsidP="00A61E39">
      <w:pPr>
        <w:spacing w:after="0" w:line="240" w:lineRule="auto"/>
      </w:pPr>
      <w:r>
        <w:continuationSeparator/>
      </w:r>
    </w:p>
  </w:footnote>
  <w:footnote w:id="1">
    <w:p w:rsidR="006618CD" w:rsidRPr="00564D10" w:rsidRDefault="006618CD" w:rsidP="00DD78D0">
      <w:pPr>
        <w:pStyle w:val="Testonotaapidipagina"/>
        <w:jc w:val="both"/>
        <w:rPr>
          <w:rFonts w:ascii="Times New Roman" w:hAnsi="Times New Roman"/>
          <w:sz w:val="18"/>
          <w:szCs w:val="18"/>
          <w:lang w:val="it-IT"/>
        </w:rPr>
      </w:pPr>
      <w:r w:rsidRPr="00564D10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564D10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564D10">
        <w:rPr>
          <w:rFonts w:ascii="Times New Roman" w:hAnsi="Times New Roman"/>
          <w:sz w:val="18"/>
          <w:szCs w:val="18"/>
        </w:rPr>
        <w:t xml:space="preserve">L’art.3, comma 53 bis del Nuovo codice della strada (Legge 29 luglio 2010, n. 120 - Disposizioni in materia di sicurezza stradale) definisce “Utente debole della strada” i pedoni, </w:t>
      </w:r>
      <w:r w:rsidRPr="00564D10">
        <w:rPr>
          <w:rFonts w:ascii="Times New Roman" w:hAnsi="Times New Roman"/>
          <w:sz w:val="18"/>
          <w:szCs w:val="18"/>
          <w:lang w:val="it-IT"/>
        </w:rPr>
        <w:t xml:space="preserve">i </w:t>
      </w:r>
      <w:r w:rsidRPr="00564D10">
        <w:rPr>
          <w:rFonts w:ascii="Times New Roman" w:hAnsi="Times New Roman"/>
          <w:sz w:val="18"/>
          <w:szCs w:val="18"/>
        </w:rPr>
        <w:t xml:space="preserve">disabili in carrozzella, </w:t>
      </w:r>
      <w:r w:rsidRPr="00564D10">
        <w:rPr>
          <w:rFonts w:ascii="Times New Roman" w:hAnsi="Times New Roman"/>
          <w:sz w:val="18"/>
          <w:szCs w:val="18"/>
          <w:lang w:val="it-IT"/>
        </w:rPr>
        <w:t xml:space="preserve">i </w:t>
      </w:r>
      <w:r w:rsidRPr="00564D10">
        <w:rPr>
          <w:rFonts w:ascii="Times New Roman" w:hAnsi="Times New Roman"/>
          <w:sz w:val="18"/>
          <w:szCs w:val="18"/>
        </w:rPr>
        <w:t>ciclisti e tutti coloro i quali meritino una tutela particolare dai pericoli derivanti dalla circolazione sulle strade. Tra questi ultimi sono annoverati anche</w:t>
      </w:r>
      <w:r w:rsidRPr="00564D10">
        <w:rPr>
          <w:rFonts w:ascii="Times New Roman" w:hAnsi="Times New Roman"/>
          <w:sz w:val="18"/>
          <w:szCs w:val="18"/>
          <w:lang w:val="it-IT"/>
        </w:rPr>
        <w:t xml:space="preserve"> i bambini.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E78"/>
    <w:multiLevelType w:val="hybridMultilevel"/>
    <w:tmpl w:val="5A8AE03A"/>
    <w:lvl w:ilvl="0" w:tplc="6F8A6DA2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5F96257"/>
    <w:multiLevelType w:val="hybridMultilevel"/>
    <w:tmpl w:val="C3EEFE5E"/>
    <w:lvl w:ilvl="0" w:tplc="B526E618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A0089C"/>
    <w:multiLevelType w:val="hybridMultilevel"/>
    <w:tmpl w:val="02BC2D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4704D"/>
    <w:multiLevelType w:val="hybridMultilevel"/>
    <w:tmpl w:val="3E2EEC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943FA"/>
    <w:multiLevelType w:val="hybridMultilevel"/>
    <w:tmpl w:val="EE0033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C3186"/>
    <w:multiLevelType w:val="hybridMultilevel"/>
    <w:tmpl w:val="8A323424"/>
    <w:lvl w:ilvl="0" w:tplc="0E1A45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832CA"/>
    <w:multiLevelType w:val="hybridMultilevel"/>
    <w:tmpl w:val="969A0EC6"/>
    <w:lvl w:ilvl="0" w:tplc="923EDA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B39FA"/>
    <w:multiLevelType w:val="hybridMultilevel"/>
    <w:tmpl w:val="443AF0B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F7302"/>
    <w:multiLevelType w:val="hybridMultilevel"/>
    <w:tmpl w:val="F3B626F2"/>
    <w:lvl w:ilvl="0" w:tplc="DA2410D6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6E16D39"/>
    <w:multiLevelType w:val="hybridMultilevel"/>
    <w:tmpl w:val="7088A1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A3101"/>
    <w:multiLevelType w:val="hybridMultilevel"/>
    <w:tmpl w:val="F8D25680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"/>
  </w:num>
  <w:num w:numId="5">
    <w:abstractNumId w:val="10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820"/>
    <w:rsid w:val="000009A5"/>
    <w:rsid w:val="00005655"/>
    <w:rsid w:val="00010E7F"/>
    <w:rsid w:val="00016770"/>
    <w:rsid w:val="000170C8"/>
    <w:rsid w:val="0002528F"/>
    <w:rsid w:val="0002621A"/>
    <w:rsid w:val="0002767C"/>
    <w:rsid w:val="00033D1A"/>
    <w:rsid w:val="00036560"/>
    <w:rsid w:val="00036785"/>
    <w:rsid w:val="00037BE6"/>
    <w:rsid w:val="0004189C"/>
    <w:rsid w:val="00042A81"/>
    <w:rsid w:val="000446D6"/>
    <w:rsid w:val="00050765"/>
    <w:rsid w:val="00050CF0"/>
    <w:rsid w:val="000532AB"/>
    <w:rsid w:val="000613D4"/>
    <w:rsid w:val="000627E9"/>
    <w:rsid w:val="00067D37"/>
    <w:rsid w:val="00084275"/>
    <w:rsid w:val="00084376"/>
    <w:rsid w:val="000917BA"/>
    <w:rsid w:val="0009180D"/>
    <w:rsid w:val="0009621C"/>
    <w:rsid w:val="000A1B96"/>
    <w:rsid w:val="000A59C2"/>
    <w:rsid w:val="000A5FE0"/>
    <w:rsid w:val="000A6597"/>
    <w:rsid w:val="000C14EB"/>
    <w:rsid w:val="000C2044"/>
    <w:rsid w:val="000C74FA"/>
    <w:rsid w:val="000D4C04"/>
    <w:rsid w:val="000D6933"/>
    <w:rsid w:val="000E03E5"/>
    <w:rsid w:val="000E4E11"/>
    <w:rsid w:val="000F64E9"/>
    <w:rsid w:val="00104058"/>
    <w:rsid w:val="001142CC"/>
    <w:rsid w:val="0011558D"/>
    <w:rsid w:val="001358C4"/>
    <w:rsid w:val="00140963"/>
    <w:rsid w:val="00155DC7"/>
    <w:rsid w:val="0016015F"/>
    <w:rsid w:val="00164807"/>
    <w:rsid w:val="00175926"/>
    <w:rsid w:val="001759A2"/>
    <w:rsid w:val="001838D2"/>
    <w:rsid w:val="00184D5B"/>
    <w:rsid w:val="001A1025"/>
    <w:rsid w:val="001A41C7"/>
    <w:rsid w:val="001B4B16"/>
    <w:rsid w:val="001D0433"/>
    <w:rsid w:val="001D0A96"/>
    <w:rsid w:val="001D51BE"/>
    <w:rsid w:val="001E2C94"/>
    <w:rsid w:val="001E5F1E"/>
    <w:rsid w:val="001F4E74"/>
    <w:rsid w:val="001F618E"/>
    <w:rsid w:val="00201E5E"/>
    <w:rsid w:val="00204B48"/>
    <w:rsid w:val="002119EF"/>
    <w:rsid w:val="00211FDC"/>
    <w:rsid w:val="00220B73"/>
    <w:rsid w:val="0023269B"/>
    <w:rsid w:val="0024125C"/>
    <w:rsid w:val="00247F7C"/>
    <w:rsid w:val="0025209D"/>
    <w:rsid w:val="002661C9"/>
    <w:rsid w:val="002674C3"/>
    <w:rsid w:val="0027798C"/>
    <w:rsid w:val="00280692"/>
    <w:rsid w:val="00283756"/>
    <w:rsid w:val="00285EAB"/>
    <w:rsid w:val="00286201"/>
    <w:rsid w:val="0029193D"/>
    <w:rsid w:val="0029237B"/>
    <w:rsid w:val="0029750D"/>
    <w:rsid w:val="00297BE6"/>
    <w:rsid w:val="002A5F6B"/>
    <w:rsid w:val="002B70F3"/>
    <w:rsid w:val="002B7859"/>
    <w:rsid w:val="002C10F1"/>
    <w:rsid w:val="002C45E3"/>
    <w:rsid w:val="002D0268"/>
    <w:rsid w:val="002D4D9E"/>
    <w:rsid w:val="002D612E"/>
    <w:rsid w:val="002E1A4A"/>
    <w:rsid w:val="002E2963"/>
    <w:rsid w:val="002E3436"/>
    <w:rsid w:val="002E3569"/>
    <w:rsid w:val="002F4CE5"/>
    <w:rsid w:val="00305AB6"/>
    <w:rsid w:val="003135F1"/>
    <w:rsid w:val="00313930"/>
    <w:rsid w:val="00324A9C"/>
    <w:rsid w:val="00330067"/>
    <w:rsid w:val="0033325F"/>
    <w:rsid w:val="00335B2A"/>
    <w:rsid w:val="00360BC4"/>
    <w:rsid w:val="003625EE"/>
    <w:rsid w:val="00370E45"/>
    <w:rsid w:val="003712F3"/>
    <w:rsid w:val="00374B5C"/>
    <w:rsid w:val="00376DCD"/>
    <w:rsid w:val="00380794"/>
    <w:rsid w:val="00381E26"/>
    <w:rsid w:val="0038327C"/>
    <w:rsid w:val="003918BD"/>
    <w:rsid w:val="00395264"/>
    <w:rsid w:val="00395DFB"/>
    <w:rsid w:val="00395F95"/>
    <w:rsid w:val="003A367E"/>
    <w:rsid w:val="003A3B8F"/>
    <w:rsid w:val="003B1884"/>
    <w:rsid w:val="003B46E5"/>
    <w:rsid w:val="003B6849"/>
    <w:rsid w:val="003B790C"/>
    <w:rsid w:val="003B7D28"/>
    <w:rsid w:val="003C2D24"/>
    <w:rsid w:val="003C54B8"/>
    <w:rsid w:val="003D5654"/>
    <w:rsid w:val="003E01C1"/>
    <w:rsid w:val="003F4085"/>
    <w:rsid w:val="0040256F"/>
    <w:rsid w:val="00402926"/>
    <w:rsid w:val="00430930"/>
    <w:rsid w:val="00433146"/>
    <w:rsid w:val="004345B4"/>
    <w:rsid w:val="00435823"/>
    <w:rsid w:val="004451F2"/>
    <w:rsid w:val="00445330"/>
    <w:rsid w:val="004616A4"/>
    <w:rsid w:val="00470B6B"/>
    <w:rsid w:val="00475B8E"/>
    <w:rsid w:val="00481647"/>
    <w:rsid w:val="0048685F"/>
    <w:rsid w:val="00496652"/>
    <w:rsid w:val="004A5BD7"/>
    <w:rsid w:val="004C26E0"/>
    <w:rsid w:val="004C3D00"/>
    <w:rsid w:val="004D701B"/>
    <w:rsid w:val="004E07CD"/>
    <w:rsid w:val="004E0AA6"/>
    <w:rsid w:val="004E10EB"/>
    <w:rsid w:val="004E1649"/>
    <w:rsid w:val="004E291D"/>
    <w:rsid w:val="004E33AB"/>
    <w:rsid w:val="004E417C"/>
    <w:rsid w:val="004E48B0"/>
    <w:rsid w:val="004F10F7"/>
    <w:rsid w:val="004F41F7"/>
    <w:rsid w:val="00501AF0"/>
    <w:rsid w:val="00510F9D"/>
    <w:rsid w:val="00512414"/>
    <w:rsid w:val="00516126"/>
    <w:rsid w:val="00521DEA"/>
    <w:rsid w:val="00526036"/>
    <w:rsid w:val="00531DB6"/>
    <w:rsid w:val="00540FD2"/>
    <w:rsid w:val="0054191A"/>
    <w:rsid w:val="005463F6"/>
    <w:rsid w:val="00552B5F"/>
    <w:rsid w:val="005579ED"/>
    <w:rsid w:val="0056021E"/>
    <w:rsid w:val="00564D10"/>
    <w:rsid w:val="005650B1"/>
    <w:rsid w:val="00574EF9"/>
    <w:rsid w:val="00587C56"/>
    <w:rsid w:val="00591132"/>
    <w:rsid w:val="00592125"/>
    <w:rsid w:val="005930A4"/>
    <w:rsid w:val="0059552D"/>
    <w:rsid w:val="005A0312"/>
    <w:rsid w:val="005A3F29"/>
    <w:rsid w:val="005A5D44"/>
    <w:rsid w:val="005B102A"/>
    <w:rsid w:val="005B1BF0"/>
    <w:rsid w:val="005B37B3"/>
    <w:rsid w:val="005B3EAB"/>
    <w:rsid w:val="005B7BC9"/>
    <w:rsid w:val="005C15D1"/>
    <w:rsid w:val="005C7798"/>
    <w:rsid w:val="005D4C46"/>
    <w:rsid w:val="005D7786"/>
    <w:rsid w:val="005E6E75"/>
    <w:rsid w:val="005F147A"/>
    <w:rsid w:val="005F2B6A"/>
    <w:rsid w:val="005F7A3B"/>
    <w:rsid w:val="006024BD"/>
    <w:rsid w:val="00602839"/>
    <w:rsid w:val="006107AE"/>
    <w:rsid w:val="00611281"/>
    <w:rsid w:val="00616449"/>
    <w:rsid w:val="00616EEB"/>
    <w:rsid w:val="00624387"/>
    <w:rsid w:val="00633EA5"/>
    <w:rsid w:val="00635C57"/>
    <w:rsid w:val="00645C8B"/>
    <w:rsid w:val="00656614"/>
    <w:rsid w:val="0066074B"/>
    <w:rsid w:val="006618CD"/>
    <w:rsid w:val="00661E8A"/>
    <w:rsid w:val="0066437E"/>
    <w:rsid w:val="00664698"/>
    <w:rsid w:val="00671F1D"/>
    <w:rsid w:val="00672500"/>
    <w:rsid w:val="00676881"/>
    <w:rsid w:val="00681E01"/>
    <w:rsid w:val="006875A7"/>
    <w:rsid w:val="006904A1"/>
    <w:rsid w:val="00696E4D"/>
    <w:rsid w:val="006A2522"/>
    <w:rsid w:val="006A2BD2"/>
    <w:rsid w:val="006A6096"/>
    <w:rsid w:val="006B41AD"/>
    <w:rsid w:val="006B4628"/>
    <w:rsid w:val="006C1450"/>
    <w:rsid w:val="006C59F7"/>
    <w:rsid w:val="006D3654"/>
    <w:rsid w:val="006D5F41"/>
    <w:rsid w:val="006D6849"/>
    <w:rsid w:val="006E148C"/>
    <w:rsid w:val="006E3401"/>
    <w:rsid w:val="006E4ED2"/>
    <w:rsid w:val="006F2A43"/>
    <w:rsid w:val="006F4311"/>
    <w:rsid w:val="00704010"/>
    <w:rsid w:val="00704BA3"/>
    <w:rsid w:val="00712820"/>
    <w:rsid w:val="00714033"/>
    <w:rsid w:val="00722DB5"/>
    <w:rsid w:val="0073719E"/>
    <w:rsid w:val="0074216D"/>
    <w:rsid w:val="007452E8"/>
    <w:rsid w:val="0075162D"/>
    <w:rsid w:val="00752544"/>
    <w:rsid w:val="00755490"/>
    <w:rsid w:val="00761B39"/>
    <w:rsid w:val="00764E23"/>
    <w:rsid w:val="0076720A"/>
    <w:rsid w:val="007675B6"/>
    <w:rsid w:val="00784E86"/>
    <w:rsid w:val="007872EA"/>
    <w:rsid w:val="00793964"/>
    <w:rsid w:val="00796DE6"/>
    <w:rsid w:val="007A0406"/>
    <w:rsid w:val="007A7C43"/>
    <w:rsid w:val="007D3F84"/>
    <w:rsid w:val="007D5635"/>
    <w:rsid w:val="007E0BC6"/>
    <w:rsid w:val="007F5760"/>
    <w:rsid w:val="00800734"/>
    <w:rsid w:val="00812E96"/>
    <w:rsid w:val="00822A72"/>
    <w:rsid w:val="008246D5"/>
    <w:rsid w:val="0082711D"/>
    <w:rsid w:val="00837B89"/>
    <w:rsid w:val="00837FA1"/>
    <w:rsid w:val="00851A53"/>
    <w:rsid w:val="008528AE"/>
    <w:rsid w:val="00854936"/>
    <w:rsid w:val="00855E7F"/>
    <w:rsid w:val="00856AB3"/>
    <w:rsid w:val="0085702A"/>
    <w:rsid w:val="0086307C"/>
    <w:rsid w:val="008632E4"/>
    <w:rsid w:val="00866B6B"/>
    <w:rsid w:val="008724F5"/>
    <w:rsid w:val="00875E53"/>
    <w:rsid w:val="00881548"/>
    <w:rsid w:val="0088356D"/>
    <w:rsid w:val="00885C8C"/>
    <w:rsid w:val="008978F8"/>
    <w:rsid w:val="008A2820"/>
    <w:rsid w:val="008B13A2"/>
    <w:rsid w:val="008B5BAD"/>
    <w:rsid w:val="008D2007"/>
    <w:rsid w:val="008F022E"/>
    <w:rsid w:val="008F364D"/>
    <w:rsid w:val="00901F7F"/>
    <w:rsid w:val="00914B0D"/>
    <w:rsid w:val="00914C3C"/>
    <w:rsid w:val="00916CFC"/>
    <w:rsid w:val="00917F19"/>
    <w:rsid w:val="009223A6"/>
    <w:rsid w:val="00922758"/>
    <w:rsid w:val="00923E7A"/>
    <w:rsid w:val="00933055"/>
    <w:rsid w:val="00936FF7"/>
    <w:rsid w:val="0095118A"/>
    <w:rsid w:val="00961463"/>
    <w:rsid w:val="00961707"/>
    <w:rsid w:val="009633D5"/>
    <w:rsid w:val="00963A1B"/>
    <w:rsid w:val="00980ED0"/>
    <w:rsid w:val="00992202"/>
    <w:rsid w:val="009A177C"/>
    <w:rsid w:val="009B12C2"/>
    <w:rsid w:val="009D3BBC"/>
    <w:rsid w:val="009D564F"/>
    <w:rsid w:val="009D59B4"/>
    <w:rsid w:val="009D6990"/>
    <w:rsid w:val="009E5AFF"/>
    <w:rsid w:val="009F1EAB"/>
    <w:rsid w:val="009F6DC5"/>
    <w:rsid w:val="00A00405"/>
    <w:rsid w:val="00A018E3"/>
    <w:rsid w:val="00A064EB"/>
    <w:rsid w:val="00A14A2C"/>
    <w:rsid w:val="00A1677C"/>
    <w:rsid w:val="00A25153"/>
    <w:rsid w:val="00A25FDA"/>
    <w:rsid w:val="00A26335"/>
    <w:rsid w:val="00A267DB"/>
    <w:rsid w:val="00A3327D"/>
    <w:rsid w:val="00A36D10"/>
    <w:rsid w:val="00A44C2C"/>
    <w:rsid w:val="00A47EFB"/>
    <w:rsid w:val="00A548A2"/>
    <w:rsid w:val="00A61E39"/>
    <w:rsid w:val="00A656FE"/>
    <w:rsid w:val="00A70C77"/>
    <w:rsid w:val="00A748CF"/>
    <w:rsid w:val="00A828D6"/>
    <w:rsid w:val="00A86D25"/>
    <w:rsid w:val="00A92BDA"/>
    <w:rsid w:val="00AA0A8C"/>
    <w:rsid w:val="00AA5C04"/>
    <w:rsid w:val="00AB1B40"/>
    <w:rsid w:val="00AB34AE"/>
    <w:rsid w:val="00AB5B89"/>
    <w:rsid w:val="00AC08F9"/>
    <w:rsid w:val="00AD2243"/>
    <w:rsid w:val="00AD2565"/>
    <w:rsid w:val="00AE2B56"/>
    <w:rsid w:val="00AE4FB2"/>
    <w:rsid w:val="00AE75A7"/>
    <w:rsid w:val="00AF1C3F"/>
    <w:rsid w:val="00AF4389"/>
    <w:rsid w:val="00B05EAB"/>
    <w:rsid w:val="00B1268F"/>
    <w:rsid w:val="00B144BE"/>
    <w:rsid w:val="00B14824"/>
    <w:rsid w:val="00B2221B"/>
    <w:rsid w:val="00B246FA"/>
    <w:rsid w:val="00B25BBF"/>
    <w:rsid w:val="00B342AA"/>
    <w:rsid w:val="00B35242"/>
    <w:rsid w:val="00B55E06"/>
    <w:rsid w:val="00B57417"/>
    <w:rsid w:val="00B74229"/>
    <w:rsid w:val="00B82C50"/>
    <w:rsid w:val="00B82F56"/>
    <w:rsid w:val="00B832A6"/>
    <w:rsid w:val="00B85BBF"/>
    <w:rsid w:val="00B879BE"/>
    <w:rsid w:val="00B97317"/>
    <w:rsid w:val="00BA7E96"/>
    <w:rsid w:val="00BB1351"/>
    <w:rsid w:val="00BB2504"/>
    <w:rsid w:val="00BC1434"/>
    <w:rsid w:val="00BC448E"/>
    <w:rsid w:val="00BD3C38"/>
    <w:rsid w:val="00BE703D"/>
    <w:rsid w:val="00BE7335"/>
    <w:rsid w:val="00BF1872"/>
    <w:rsid w:val="00BF79F3"/>
    <w:rsid w:val="00C01F18"/>
    <w:rsid w:val="00C06D77"/>
    <w:rsid w:val="00C128B8"/>
    <w:rsid w:val="00C23F22"/>
    <w:rsid w:val="00C410EE"/>
    <w:rsid w:val="00C4511F"/>
    <w:rsid w:val="00C5030B"/>
    <w:rsid w:val="00C5237E"/>
    <w:rsid w:val="00C532F9"/>
    <w:rsid w:val="00C550B3"/>
    <w:rsid w:val="00C57683"/>
    <w:rsid w:val="00C731EB"/>
    <w:rsid w:val="00C82424"/>
    <w:rsid w:val="00C90197"/>
    <w:rsid w:val="00C92825"/>
    <w:rsid w:val="00C94F4D"/>
    <w:rsid w:val="00CA0A7E"/>
    <w:rsid w:val="00CA266B"/>
    <w:rsid w:val="00CB1594"/>
    <w:rsid w:val="00CB566C"/>
    <w:rsid w:val="00CC2083"/>
    <w:rsid w:val="00CC3C4C"/>
    <w:rsid w:val="00CC4CB9"/>
    <w:rsid w:val="00CD231B"/>
    <w:rsid w:val="00CD2527"/>
    <w:rsid w:val="00CD7538"/>
    <w:rsid w:val="00CE1B04"/>
    <w:rsid w:val="00CE52A4"/>
    <w:rsid w:val="00CF0CB6"/>
    <w:rsid w:val="00CF420E"/>
    <w:rsid w:val="00CF74C6"/>
    <w:rsid w:val="00D17055"/>
    <w:rsid w:val="00D2130B"/>
    <w:rsid w:val="00D33050"/>
    <w:rsid w:val="00D47DCC"/>
    <w:rsid w:val="00D50046"/>
    <w:rsid w:val="00D52EA6"/>
    <w:rsid w:val="00D71C04"/>
    <w:rsid w:val="00D80A73"/>
    <w:rsid w:val="00D84498"/>
    <w:rsid w:val="00D90755"/>
    <w:rsid w:val="00D92EA4"/>
    <w:rsid w:val="00DA08EE"/>
    <w:rsid w:val="00DA1492"/>
    <w:rsid w:val="00DA2279"/>
    <w:rsid w:val="00DA4853"/>
    <w:rsid w:val="00DB0585"/>
    <w:rsid w:val="00DC090D"/>
    <w:rsid w:val="00DC54E3"/>
    <w:rsid w:val="00DC7612"/>
    <w:rsid w:val="00DC77A1"/>
    <w:rsid w:val="00DD1286"/>
    <w:rsid w:val="00DD19F1"/>
    <w:rsid w:val="00DD1AFF"/>
    <w:rsid w:val="00DD78D0"/>
    <w:rsid w:val="00DE2477"/>
    <w:rsid w:val="00DE47FB"/>
    <w:rsid w:val="00DE4935"/>
    <w:rsid w:val="00DF0DED"/>
    <w:rsid w:val="00E050C6"/>
    <w:rsid w:val="00E1509B"/>
    <w:rsid w:val="00E166EA"/>
    <w:rsid w:val="00E22409"/>
    <w:rsid w:val="00E51AE6"/>
    <w:rsid w:val="00E5587C"/>
    <w:rsid w:val="00E56247"/>
    <w:rsid w:val="00E57CB8"/>
    <w:rsid w:val="00E62196"/>
    <w:rsid w:val="00E6765E"/>
    <w:rsid w:val="00E70210"/>
    <w:rsid w:val="00E7180D"/>
    <w:rsid w:val="00E7460E"/>
    <w:rsid w:val="00E74BA3"/>
    <w:rsid w:val="00E80EA6"/>
    <w:rsid w:val="00E831B8"/>
    <w:rsid w:val="00E83CBE"/>
    <w:rsid w:val="00E935FC"/>
    <w:rsid w:val="00E939EA"/>
    <w:rsid w:val="00E9474C"/>
    <w:rsid w:val="00E95A3E"/>
    <w:rsid w:val="00E95BA6"/>
    <w:rsid w:val="00E967EE"/>
    <w:rsid w:val="00EA71C9"/>
    <w:rsid w:val="00EB6C1F"/>
    <w:rsid w:val="00EC3C65"/>
    <w:rsid w:val="00EC41DA"/>
    <w:rsid w:val="00EC5DD6"/>
    <w:rsid w:val="00ED2499"/>
    <w:rsid w:val="00EF4C3F"/>
    <w:rsid w:val="00EF5BE3"/>
    <w:rsid w:val="00EF756A"/>
    <w:rsid w:val="00F00287"/>
    <w:rsid w:val="00F01F41"/>
    <w:rsid w:val="00F12A41"/>
    <w:rsid w:val="00F22055"/>
    <w:rsid w:val="00F334F3"/>
    <w:rsid w:val="00F36ABB"/>
    <w:rsid w:val="00F40E79"/>
    <w:rsid w:val="00F50CFD"/>
    <w:rsid w:val="00F54D73"/>
    <w:rsid w:val="00F555A6"/>
    <w:rsid w:val="00F60DA4"/>
    <w:rsid w:val="00F61F9B"/>
    <w:rsid w:val="00F7398A"/>
    <w:rsid w:val="00F73CB3"/>
    <w:rsid w:val="00F81F99"/>
    <w:rsid w:val="00F901D4"/>
    <w:rsid w:val="00F95A75"/>
    <w:rsid w:val="00FA2AEF"/>
    <w:rsid w:val="00FA30D3"/>
    <w:rsid w:val="00FA40D1"/>
    <w:rsid w:val="00FB174E"/>
    <w:rsid w:val="00FB6E6A"/>
    <w:rsid w:val="00FC5E3A"/>
    <w:rsid w:val="00FC6646"/>
    <w:rsid w:val="00FC7F44"/>
    <w:rsid w:val="00FD2303"/>
    <w:rsid w:val="00FD6383"/>
    <w:rsid w:val="00FE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C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D69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1E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E39"/>
  </w:style>
  <w:style w:type="paragraph" w:styleId="Pidipagina">
    <w:name w:val="footer"/>
    <w:basedOn w:val="Normale"/>
    <w:link w:val="PidipaginaCarattere"/>
    <w:uiPriority w:val="99"/>
    <w:unhideWhenUsed/>
    <w:rsid w:val="00A61E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E39"/>
  </w:style>
  <w:style w:type="character" w:styleId="Collegamentoipertestuale">
    <w:name w:val="Hyperlink"/>
    <w:basedOn w:val="Carpredefinitoparagrafo"/>
    <w:unhideWhenUsed/>
    <w:rsid w:val="0028375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83756"/>
    <w:rPr>
      <w:color w:val="800080"/>
      <w:u w:val="single"/>
    </w:rPr>
  </w:style>
  <w:style w:type="paragraph" w:customStyle="1" w:styleId="xl66">
    <w:name w:val="xl66"/>
    <w:basedOn w:val="Normale"/>
    <w:rsid w:val="002837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it-IT"/>
    </w:rPr>
  </w:style>
  <w:style w:type="paragraph" w:customStyle="1" w:styleId="xl67">
    <w:name w:val="xl67"/>
    <w:basedOn w:val="Normale"/>
    <w:rsid w:val="002837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it-IT"/>
    </w:rPr>
  </w:style>
  <w:style w:type="paragraph" w:customStyle="1" w:styleId="xl68">
    <w:name w:val="xl68"/>
    <w:basedOn w:val="Normale"/>
    <w:rsid w:val="0028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0"/>
      <w:szCs w:val="10"/>
      <w:lang w:eastAsia="it-IT"/>
    </w:rPr>
  </w:style>
  <w:style w:type="paragraph" w:customStyle="1" w:styleId="xl69">
    <w:name w:val="xl69"/>
    <w:basedOn w:val="Normale"/>
    <w:rsid w:val="0028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0"/>
      <w:szCs w:val="10"/>
      <w:lang w:eastAsia="it-IT"/>
    </w:rPr>
  </w:style>
  <w:style w:type="paragraph" w:customStyle="1" w:styleId="xl70">
    <w:name w:val="xl70"/>
    <w:basedOn w:val="Normale"/>
    <w:rsid w:val="0028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0"/>
      <w:szCs w:val="10"/>
      <w:lang w:eastAsia="it-IT"/>
    </w:rPr>
  </w:style>
  <w:style w:type="paragraph" w:customStyle="1" w:styleId="xl71">
    <w:name w:val="xl71"/>
    <w:basedOn w:val="Normale"/>
    <w:rsid w:val="0028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0"/>
      <w:szCs w:val="10"/>
      <w:lang w:eastAsia="it-IT"/>
    </w:rPr>
  </w:style>
  <w:style w:type="character" w:styleId="Rimandocommento">
    <w:name w:val="annotation reference"/>
    <w:basedOn w:val="Carpredefinitoparagrafo"/>
    <w:unhideWhenUsed/>
    <w:rsid w:val="00AE75A7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AE75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E75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75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75A7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4125C"/>
    <w:pPr>
      <w:widowControl w:val="0"/>
      <w:spacing w:after="0" w:line="240" w:lineRule="auto"/>
    </w:pPr>
    <w:rPr>
      <w:rFonts w:ascii="Comic Sans MS" w:eastAsia="Times New Roman" w:hAnsi="Comic Sans MS" w:cs="Times New Roman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125C"/>
    <w:rPr>
      <w:rFonts w:ascii="Comic Sans MS" w:eastAsia="Times New Roman" w:hAnsi="Comic Sans MS" w:cs="Times New Roman"/>
      <w:sz w:val="20"/>
      <w:szCs w:val="20"/>
      <w:lang w:val="x-none" w:eastAsia="x-none"/>
    </w:rPr>
  </w:style>
  <w:style w:type="paragraph" w:styleId="Rientrocorpodeltesto3">
    <w:name w:val="Body Text Indent 3"/>
    <w:basedOn w:val="Normale"/>
    <w:link w:val="Rientrocorpodeltesto3Carattere"/>
    <w:rsid w:val="0024125C"/>
    <w:pPr>
      <w:widowControl w:val="0"/>
      <w:tabs>
        <w:tab w:val="left" w:pos="-1416"/>
        <w:tab w:val="left" w:pos="-708"/>
        <w:tab w:val="left" w:pos="0"/>
        <w:tab w:val="left" w:pos="708"/>
        <w:tab w:val="left" w:pos="1416"/>
        <w:tab w:val="left" w:pos="2124"/>
        <w:tab w:val="left" w:pos="2838"/>
        <w:tab w:val="left" w:pos="3546"/>
        <w:tab w:val="left" w:pos="4254"/>
        <w:tab w:val="left" w:pos="4962"/>
        <w:tab w:val="left" w:pos="5670"/>
        <w:tab w:val="left" w:pos="6378"/>
        <w:tab w:val="left" w:pos="7092"/>
        <w:tab w:val="left" w:pos="7800"/>
      </w:tabs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4125C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24125C"/>
    <w:rPr>
      <w:vertAlign w:val="superscript"/>
    </w:rPr>
  </w:style>
  <w:style w:type="paragraph" w:customStyle="1" w:styleId="xl23">
    <w:name w:val="xl23"/>
    <w:basedOn w:val="Normale"/>
    <w:rsid w:val="00A36D1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C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D69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1E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E39"/>
  </w:style>
  <w:style w:type="paragraph" w:styleId="Pidipagina">
    <w:name w:val="footer"/>
    <w:basedOn w:val="Normale"/>
    <w:link w:val="PidipaginaCarattere"/>
    <w:uiPriority w:val="99"/>
    <w:unhideWhenUsed/>
    <w:rsid w:val="00A61E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E39"/>
  </w:style>
  <w:style w:type="character" w:styleId="Collegamentoipertestuale">
    <w:name w:val="Hyperlink"/>
    <w:basedOn w:val="Carpredefinitoparagrafo"/>
    <w:unhideWhenUsed/>
    <w:rsid w:val="0028375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83756"/>
    <w:rPr>
      <w:color w:val="800080"/>
      <w:u w:val="single"/>
    </w:rPr>
  </w:style>
  <w:style w:type="paragraph" w:customStyle="1" w:styleId="xl66">
    <w:name w:val="xl66"/>
    <w:basedOn w:val="Normale"/>
    <w:rsid w:val="002837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it-IT"/>
    </w:rPr>
  </w:style>
  <w:style w:type="paragraph" w:customStyle="1" w:styleId="xl67">
    <w:name w:val="xl67"/>
    <w:basedOn w:val="Normale"/>
    <w:rsid w:val="0028375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it-IT"/>
    </w:rPr>
  </w:style>
  <w:style w:type="paragraph" w:customStyle="1" w:styleId="xl68">
    <w:name w:val="xl68"/>
    <w:basedOn w:val="Normale"/>
    <w:rsid w:val="0028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0"/>
      <w:szCs w:val="10"/>
      <w:lang w:eastAsia="it-IT"/>
    </w:rPr>
  </w:style>
  <w:style w:type="paragraph" w:customStyle="1" w:styleId="xl69">
    <w:name w:val="xl69"/>
    <w:basedOn w:val="Normale"/>
    <w:rsid w:val="0028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0"/>
      <w:szCs w:val="10"/>
      <w:lang w:eastAsia="it-IT"/>
    </w:rPr>
  </w:style>
  <w:style w:type="paragraph" w:customStyle="1" w:styleId="xl70">
    <w:name w:val="xl70"/>
    <w:basedOn w:val="Normale"/>
    <w:rsid w:val="0028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0"/>
      <w:szCs w:val="10"/>
      <w:lang w:eastAsia="it-IT"/>
    </w:rPr>
  </w:style>
  <w:style w:type="paragraph" w:customStyle="1" w:styleId="xl71">
    <w:name w:val="xl71"/>
    <w:basedOn w:val="Normale"/>
    <w:rsid w:val="00283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0"/>
      <w:szCs w:val="10"/>
      <w:lang w:eastAsia="it-IT"/>
    </w:rPr>
  </w:style>
  <w:style w:type="character" w:styleId="Rimandocommento">
    <w:name w:val="annotation reference"/>
    <w:basedOn w:val="Carpredefinitoparagrafo"/>
    <w:unhideWhenUsed/>
    <w:rsid w:val="00AE75A7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AE75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E75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75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75A7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4125C"/>
    <w:pPr>
      <w:widowControl w:val="0"/>
      <w:spacing w:after="0" w:line="240" w:lineRule="auto"/>
    </w:pPr>
    <w:rPr>
      <w:rFonts w:ascii="Comic Sans MS" w:eastAsia="Times New Roman" w:hAnsi="Comic Sans MS" w:cs="Times New Roman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125C"/>
    <w:rPr>
      <w:rFonts w:ascii="Comic Sans MS" w:eastAsia="Times New Roman" w:hAnsi="Comic Sans MS" w:cs="Times New Roman"/>
      <w:sz w:val="20"/>
      <w:szCs w:val="20"/>
      <w:lang w:val="x-none" w:eastAsia="x-none"/>
    </w:rPr>
  </w:style>
  <w:style w:type="paragraph" w:styleId="Rientrocorpodeltesto3">
    <w:name w:val="Body Text Indent 3"/>
    <w:basedOn w:val="Normale"/>
    <w:link w:val="Rientrocorpodeltesto3Carattere"/>
    <w:rsid w:val="0024125C"/>
    <w:pPr>
      <w:widowControl w:val="0"/>
      <w:tabs>
        <w:tab w:val="left" w:pos="-1416"/>
        <w:tab w:val="left" w:pos="-708"/>
        <w:tab w:val="left" w:pos="0"/>
        <w:tab w:val="left" w:pos="708"/>
        <w:tab w:val="left" w:pos="1416"/>
        <w:tab w:val="left" w:pos="2124"/>
        <w:tab w:val="left" w:pos="2838"/>
        <w:tab w:val="left" w:pos="3546"/>
        <w:tab w:val="left" w:pos="4254"/>
        <w:tab w:val="left" w:pos="4962"/>
        <w:tab w:val="left" w:pos="5670"/>
        <w:tab w:val="left" w:pos="6378"/>
        <w:tab w:val="left" w:pos="7092"/>
        <w:tab w:val="left" w:pos="7800"/>
      </w:tabs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4125C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24125C"/>
    <w:rPr>
      <w:vertAlign w:val="superscript"/>
    </w:rPr>
  </w:style>
  <w:style w:type="paragraph" w:customStyle="1" w:styleId="xl23">
    <w:name w:val="xl23"/>
    <w:basedOn w:val="Normale"/>
    <w:rsid w:val="00A36D1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yperlink" Target="http://www.istat.it/it/archivio/1724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stat.it/it/archivio/19220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E:\Copia%20di%20Tabelle%20contributo%20Istat_2016_agg%20Silvi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Copia%20di%20Tabelle%20contributo%20Istat_2016_agg%20Silvia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Copia%20di%20Tabelle%20contributo%20Istat_2016_agg%20Silvia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uzzone\Desktop\AA%20Zacchi%202016\Grafici%20contributo%20Istat_2016_dati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A%20Zacchi%202016\Tabelle%20contributo%20Istat_2016_agg%20Silvia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bruzzone\Desktop\AA%20Zacchi%202016\Tavole_Grandi_Comuni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7210911910209007E-2"/>
          <c:y val="0.15076631706661472"/>
          <c:w val="0.84647794056239056"/>
          <c:h val="0.60047358804395023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'Figura 1_new '!$R$1</c:f>
              <c:strCache>
                <c:ptCount val="1"/>
                <c:pt idx="0">
                  <c:v>Morti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38100" cmpd="sng">
              <a:solidFill>
                <a:schemeClr val="bg1">
                  <a:lumMod val="65000"/>
                </a:schemeClr>
              </a:solidFill>
            </a:ln>
          </c:spPr>
          <c:invertIfNegative val="0"/>
          <c:dPt>
            <c:idx val="9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Lbls>
            <c:dLbl>
              <c:idx val="0"/>
              <c:layout>
                <c:manualLayout>
                  <c:x val="5.8999649500521808E-3"/>
                  <c:y val="6.515962664740274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7.096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202713641926314E-3"/>
                  <c:y val="6.462738690408516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3.428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'Figura 1_new '!$P$2:$P$16</c:f>
              <c:numCache>
                <c:formatCode>General</c:formatCode>
                <c:ptCount val="15"/>
                <c:pt idx="0">
                  <c:v>2001</c:v>
                </c:pt>
                <c:pt idx="1">
                  <c:v>2002</c:v>
                </c:pt>
                <c:pt idx="2">
                  <c:v>2003</c:v>
                </c:pt>
                <c:pt idx="3">
                  <c:v>2004</c:v>
                </c:pt>
                <c:pt idx="4">
                  <c:v>2005</c:v>
                </c:pt>
                <c:pt idx="5">
                  <c:v>2006</c:v>
                </c:pt>
                <c:pt idx="6">
                  <c:v>2007</c:v>
                </c:pt>
                <c:pt idx="7">
                  <c:v>2008</c:v>
                </c:pt>
                <c:pt idx="8">
                  <c:v>2009</c:v>
                </c:pt>
                <c:pt idx="9">
                  <c:v>2010</c:v>
                </c:pt>
                <c:pt idx="10">
                  <c:v>2011</c:v>
                </c:pt>
                <c:pt idx="11">
                  <c:v>2012</c:v>
                </c:pt>
                <c:pt idx="12">
                  <c:v>2013</c:v>
                </c:pt>
                <c:pt idx="13">
                  <c:v>2014</c:v>
                </c:pt>
                <c:pt idx="14">
                  <c:v>2015</c:v>
                </c:pt>
              </c:numCache>
            </c:numRef>
          </c:cat>
          <c:val>
            <c:numRef>
              <c:f>'Figura 1_new '!$R$2:$R$16</c:f>
              <c:numCache>
                <c:formatCode>#,##0</c:formatCode>
                <c:ptCount val="15"/>
                <c:pt idx="0">
                  <c:v>7096</c:v>
                </c:pt>
                <c:pt idx="1">
                  <c:v>6980</c:v>
                </c:pt>
                <c:pt idx="2">
                  <c:v>6563</c:v>
                </c:pt>
                <c:pt idx="3">
                  <c:v>6122</c:v>
                </c:pt>
                <c:pt idx="4">
                  <c:v>5818</c:v>
                </c:pt>
                <c:pt idx="5">
                  <c:v>5669</c:v>
                </c:pt>
                <c:pt idx="6">
                  <c:v>5131</c:v>
                </c:pt>
                <c:pt idx="7">
                  <c:v>4725</c:v>
                </c:pt>
                <c:pt idx="8" formatCode="0">
                  <c:v>4237</c:v>
                </c:pt>
                <c:pt idx="9" formatCode="0">
                  <c:v>4114</c:v>
                </c:pt>
                <c:pt idx="10" formatCode="0">
                  <c:v>3860</c:v>
                </c:pt>
                <c:pt idx="11" formatCode="0">
                  <c:v>3753</c:v>
                </c:pt>
                <c:pt idx="12" formatCode="0">
                  <c:v>3401</c:v>
                </c:pt>
                <c:pt idx="13" formatCode="General">
                  <c:v>3381</c:v>
                </c:pt>
                <c:pt idx="14" formatCode="General">
                  <c:v>3428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4515584"/>
        <c:axId val="138622016"/>
      </c:barChart>
      <c:lineChart>
        <c:grouping val="standard"/>
        <c:varyColors val="0"/>
        <c:ser>
          <c:idx val="0"/>
          <c:order val="0"/>
          <c:tx>
            <c:strRef>
              <c:f>'Figura 1_new '!$Q$1</c:f>
              <c:strCache>
                <c:ptCount val="1"/>
                <c:pt idx="0">
                  <c:v>Incidenti</c:v>
                </c:pt>
              </c:strCache>
            </c:strRef>
          </c:tx>
          <c:spPr>
            <a:ln w="38100">
              <a:solidFill>
                <a:srgbClr val="00527F"/>
              </a:solidFill>
            </a:ln>
          </c:spPr>
          <c:marker>
            <c:symbol val="square"/>
            <c:size val="5"/>
            <c:spPr>
              <a:solidFill>
                <a:schemeClr val="accent1">
                  <a:lumMod val="75000"/>
                </a:schemeClr>
              </a:solidFill>
              <a:ln>
                <a:solidFill>
                  <a:srgbClr val="00527F"/>
                </a:solidFill>
              </a:ln>
            </c:spPr>
          </c:marker>
          <c:dPt>
            <c:idx val="9"/>
            <c:bubble3D val="0"/>
          </c:dPt>
          <c:dPt>
            <c:idx val="12"/>
            <c:bubble3D val="0"/>
          </c:dPt>
          <c:dPt>
            <c:idx val="13"/>
            <c:bubble3D val="0"/>
          </c:dPt>
          <c:dLbls>
            <c:dLbl>
              <c:idx val="0"/>
              <c:layout>
                <c:manualLayout>
                  <c:x val="-3.1772646178996729E-2"/>
                  <c:y val="6.600678328988553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263.100</a:t>
                    </a:r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7.2086168948639659E-2"/>
                  <c:y val="-6.492820712398343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174.539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'Figura 1_new '!$P$2:$P$16</c:f>
              <c:numCache>
                <c:formatCode>General</c:formatCode>
                <c:ptCount val="15"/>
                <c:pt idx="0">
                  <c:v>2001</c:v>
                </c:pt>
                <c:pt idx="1">
                  <c:v>2002</c:v>
                </c:pt>
                <c:pt idx="2">
                  <c:v>2003</c:v>
                </c:pt>
                <c:pt idx="3">
                  <c:v>2004</c:v>
                </c:pt>
                <c:pt idx="4">
                  <c:v>2005</c:v>
                </c:pt>
                <c:pt idx="5">
                  <c:v>2006</c:v>
                </c:pt>
                <c:pt idx="6">
                  <c:v>2007</c:v>
                </c:pt>
                <c:pt idx="7">
                  <c:v>2008</c:v>
                </c:pt>
                <c:pt idx="8">
                  <c:v>2009</c:v>
                </c:pt>
                <c:pt idx="9">
                  <c:v>2010</c:v>
                </c:pt>
                <c:pt idx="10">
                  <c:v>2011</c:v>
                </c:pt>
                <c:pt idx="11">
                  <c:v>2012</c:v>
                </c:pt>
                <c:pt idx="12">
                  <c:v>2013</c:v>
                </c:pt>
                <c:pt idx="13">
                  <c:v>2014</c:v>
                </c:pt>
                <c:pt idx="14">
                  <c:v>2015</c:v>
                </c:pt>
              </c:numCache>
            </c:numRef>
          </c:cat>
          <c:val>
            <c:numRef>
              <c:f>'Figura 1_new '!$Q$2:$Q$16</c:f>
              <c:numCache>
                <c:formatCode>0</c:formatCode>
                <c:ptCount val="15"/>
                <c:pt idx="0">
                  <c:v>263100</c:v>
                </c:pt>
                <c:pt idx="1">
                  <c:v>265402</c:v>
                </c:pt>
                <c:pt idx="2">
                  <c:v>252271</c:v>
                </c:pt>
                <c:pt idx="3">
                  <c:v>243490</c:v>
                </c:pt>
                <c:pt idx="4">
                  <c:v>240011</c:v>
                </c:pt>
                <c:pt idx="5">
                  <c:v>238124</c:v>
                </c:pt>
                <c:pt idx="6">
                  <c:v>230871</c:v>
                </c:pt>
                <c:pt idx="7">
                  <c:v>218963</c:v>
                </c:pt>
                <c:pt idx="8">
                  <c:v>215405</c:v>
                </c:pt>
                <c:pt idx="9">
                  <c:v>212997</c:v>
                </c:pt>
                <c:pt idx="10">
                  <c:v>205638</c:v>
                </c:pt>
                <c:pt idx="11">
                  <c:v>188228</c:v>
                </c:pt>
                <c:pt idx="12">
                  <c:v>181660</c:v>
                </c:pt>
                <c:pt idx="13">
                  <c:v>177031</c:v>
                </c:pt>
                <c:pt idx="14">
                  <c:v>174539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'Figura 1_new '!$S$1</c:f>
              <c:strCache>
                <c:ptCount val="1"/>
                <c:pt idx="0">
                  <c:v>Feriti</c:v>
                </c:pt>
              </c:strCache>
            </c:strRef>
          </c:tx>
          <c:spPr>
            <a:ln w="38100">
              <a:solidFill>
                <a:schemeClr val="accent1">
                  <a:lumMod val="60000"/>
                  <a:lumOff val="4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tx2">
                  <a:lumMod val="40000"/>
                  <a:lumOff val="60000"/>
                </a:schemeClr>
              </a:solidFill>
              <a:ln>
                <a:solidFill>
                  <a:schemeClr val="accent1">
                    <a:lumMod val="60000"/>
                    <a:lumOff val="40000"/>
                  </a:schemeClr>
                </a:solidFill>
              </a:ln>
            </c:spPr>
          </c:marker>
          <c:dPt>
            <c:idx val="9"/>
            <c:bubble3D val="0"/>
          </c:dPt>
          <c:dPt>
            <c:idx val="12"/>
            <c:bubble3D val="0"/>
          </c:dPt>
          <c:dPt>
            <c:idx val="13"/>
            <c:bubble3D val="0"/>
          </c:dPt>
          <c:dLbls>
            <c:dLbl>
              <c:idx val="0"/>
              <c:layout>
                <c:manualLayout>
                  <c:x val="-3.1964664654856652E-2"/>
                  <c:y val="-4.40043545058772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373.286</a:t>
                    </a:r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7.5020533482564128E-2"/>
                  <c:y val="-9.09416029987095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246.920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'Figura 1_new '!$P$2:$P$16</c:f>
              <c:numCache>
                <c:formatCode>General</c:formatCode>
                <c:ptCount val="15"/>
                <c:pt idx="0">
                  <c:v>2001</c:v>
                </c:pt>
                <c:pt idx="1">
                  <c:v>2002</c:v>
                </c:pt>
                <c:pt idx="2">
                  <c:v>2003</c:v>
                </c:pt>
                <c:pt idx="3">
                  <c:v>2004</c:v>
                </c:pt>
                <c:pt idx="4">
                  <c:v>2005</c:v>
                </c:pt>
                <c:pt idx="5">
                  <c:v>2006</c:v>
                </c:pt>
                <c:pt idx="6">
                  <c:v>2007</c:v>
                </c:pt>
                <c:pt idx="7">
                  <c:v>2008</c:v>
                </c:pt>
                <c:pt idx="8">
                  <c:v>2009</c:v>
                </c:pt>
                <c:pt idx="9">
                  <c:v>2010</c:v>
                </c:pt>
                <c:pt idx="10">
                  <c:v>2011</c:v>
                </c:pt>
                <c:pt idx="11">
                  <c:v>2012</c:v>
                </c:pt>
                <c:pt idx="12">
                  <c:v>2013</c:v>
                </c:pt>
                <c:pt idx="13">
                  <c:v>2014</c:v>
                </c:pt>
                <c:pt idx="14">
                  <c:v>2015</c:v>
                </c:pt>
              </c:numCache>
            </c:numRef>
          </c:cat>
          <c:val>
            <c:numRef>
              <c:f>'Figura 1_new '!$S$2:$S$16</c:f>
              <c:numCache>
                <c:formatCode>#,##0</c:formatCode>
                <c:ptCount val="15"/>
                <c:pt idx="0">
                  <c:v>373286</c:v>
                </c:pt>
                <c:pt idx="1">
                  <c:v>378492</c:v>
                </c:pt>
                <c:pt idx="2">
                  <c:v>356475</c:v>
                </c:pt>
                <c:pt idx="3">
                  <c:v>343179</c:v>
                </c:pt>
                <c:pt idx="4">
                  <c:v>334858</c:v>
                </c:pt>
                <c:pt idx="5">
                  <c:v>332955</c:v>
                </c:pt>
                <c:pt idx="6">
                  <c:v>325850</c:v>
                </c:pt>
                <c:pt idx="7">
                  <c:v>310739</c:v>
                </c:pt>
                <c:pt idx="8" formatCode="0">
                  <c:v>307258</c:v>
                </c:pt>
                <c:pt idx="9" formatCode="0">
                  <c:v>304720</c:v>
                </c:pt>
                <c:pt idx="10" formatCode="0">
                  <c:v>292019</c:v>
                </c:pt>
                <c:pt idx="11" formatCode="0">
                  <c:v>266864</c:v>
                </c:pt>
                <c:pt idx="12" formatCode="0">
                  <c:v>258093</c:v>
                </c:pt>
                <c:pt idx="13" formatCode="General">
                  <c:v>251147</c:v>
                </c:pt>
                <c:pt idx="14" formatCode="General">
                  <c:v>246920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4515072"/>
        <c:axId val="138621440"/>
      </c:lineChart>
      <c:catAx>
        <c:axId val="1445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it-IT"/>
          </a:p>
        </c:txPr>
        <c:crossAx val="138621440"/>
        <c:crosses val="autoZero"/>
        <c:auto val="1"/>
        <c:lblAlgn val="ctr"/>
        <c:lblOffset val="100"/>
        <c:tickLblSkip val="1"/>
        <c:noMultiLvlLbl val="0"/>
      </c:catAx>
      <c:valAx>
        <c:axId val="138621440"/>
        <c:scaling>
          <c:orientation val="minMax"/>
          <c:min val="50000"/>
        </c:scaling>
        <c:delete val="0"/>
        <c:axPos val="l"/>
        <c:numFmt formatCode="#,##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it-IT"/>
          </a:p>
        </c:txPr>
        <c:crossAx val="144515072"/>
        <c:crosses val="autoZero"/>
        <c:crossBetween val="between"/>
      </c:valAx>
      <c:catAx>
        <c:axId val="14451558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38622016"/>
        <c:crosses val="autoZero"/>
        <c:auto val="1"/>
        <c:lblAlgn val="ctr"/>
        <c:lblOffset val="100"/>
        <c:noMultiLvlLbl val="0"/>
      </c:catAx>
      <c:valAx>
        <c:axId val="138622016"/>
        <c:scaling>
          <c:orientation val="minMax"/>
          <c:min val="2000"/>
        </c:scaling>
        <c:delete val="0"/>
        <c:axPos val="r"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it-IT"/>
          </a:p>
        </c:txPr>
        <c:crossAx val="144515584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27794560443489819"/>
          <c:y val="0.91953611229906163"/>
          <c:w val="0.44864051453027837"/>
          <c:h val="8.0214258931919247E-2"/>
        </c:manualLayout>
      </c:layout>
      <c:overlay val="0"/>
      <c:spPr>
        <a:noFill/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it-IT"/>
        </a:p>
      </c:txPr>
    </c:legend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it-IT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579198504328583E-2"/>
          <c:y val="3.6789984306410214E-2"/>
          <c:w val="0.93541774050867066"/>
          <c:h val="0.72004455632101239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4"/>
              <c:tx>
                <c:rich>
                  <a:bodyPr/>
                  <a:lstStyle/>
                  <a:p>
                    <a:r>
                      <a:rPr lang="en-US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1.468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'Figure 2 e 3 new'!$A$2:$A$8</c:f>
              <c:strCache>
                <c:ptCount val="7"/>
                <c:pt idx="0">
                  <c:v>Pedoni</c:v>
                </c:pt>
                <c:pt idx="1">
                  <c:v>Biciclette</c:v>
                </c:pt>
                <c:pt idx="2">
                  <c:v>Ciclomotori</c:v>
                </c:pt>
                <c:pt idx="3">
                  <c:v>Motocicli</c:v>
                </c:pt>
                <c:pt idx="4">
                  <c:v>Autovetture</c:v>
                </c:pt>
                <c:pt idx="5">
                  <c:v>Autocarri e Motrici</c:v>
                </c:pt>
                <c:pt idx="6">
                  <c:v>Altri  utenti della strada</c:v>
                </c:pt>
              </c:strCache>
            </c:strRef>
          </c:cat>
          <c:val>
            <c:numRef>
              <c:f>'Figure 2 e 3 new'!$D$2:$D$8</c:f>
              <c:numCache>
                <c:formatCode>General</c:formatCode>
                <c:ptCount val="7"/>
                <c:pt idx="0">
                  <c:v>602</c:v>
                </c:pt>
                <c:pt idx="1">
                  <c:v>251</c:v>
                </c:pt>
                <c:pt idx="2">
                  <c:v>105</c:v>
                </c:pt>
                <c:pt idx="3">
                  <c:v>773</c:v>
                </c:pt>
                <c:pt idx="4">
                  <c:v>1468</c:v>
                </c:pt>
                <c:pt idx="5">
                  <c:v>157</c:v>
                </c:pt>
                <c:pt idx="6">
                  <c:v>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axId val="144516608"/>
        <c:axId val="138623744"/>
      </c:barChart>
      <c:catAx>
        <c:axId val="14451660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0" vert="horz"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it-IT"/>
          </a:p>
        </c:txPr>
        <c:crossAx val="138623744"/>
        <c:crosses val="autoZero"/>
        <c:auto val="1"/>
        <c:lblAlgn val="ctr"/>
        <c:lblOffset val="100"/>
        <c:noMultiLvlLbl val="0"/>
      </c:catAx>
      <c:valAx>
        <c:axId val="138623744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it-IT"/>
          </a:p>
        </c:txPr>
        <c:crossAx val="144516608"/>
        <c:crosses val="autoZero"/>
        <c:crossBetween val="between"/>
      </c:valAx>
      <c:spPr>
        <a:noFill/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0">
          <a:latin typeface="Arial" panose="020B0604020202020204" pitchFamily="34" charset="0"/>
          <a:cs typeface="Arial" panose="020B0604020202020204" pitchFamily="34" charset="0"/>
        </a:defRPr>
      </a:pPr>
      <a:endParaRPr lang="it-IT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796344901331775E-2"/>
          <c:y val="4.3912175648702596E-2"/>
          <c:w val="0.59943342067880179"/>
          <c:h val="0.765026997795931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'Figure 2 e 3 new'!$B$21</c:f>
              <c:strCache>
                <c:ptCount val="1"/>
                <c:pt idx="0">
                  <c:v>Var.% 2015/2001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'Figure 2 e 3 new'!$A$22:$A$26</c:f>
              <c:strCache>
                <c:ptCount val="5"/>
                <c:pt idx="0">
                  <c:v>Totale </c:v>
                </c:pt>
                <c:pt idx="1">
                  <c:v>Autovetture</c:v>
                </c:pt>
                <c:pt idx="2">
                  <c:v>Due ruote a motore</c:v>
                </c:pt>
                <c:pt idx="3">
                  <c:v>Pedoni</c:v>
                </c:pt>
                <c:pt idx="4">
                  <c:v>Ciclisti</c:v>
                </c:pt>
              </c:strCache>
            </c:strRef>
          </c:cat>
          <c:val>
            <c:numRef>
              <c:f>'Figure 2 e 3 new'!$B$22:$B$26</c:f>
              <c:numCache>
                <c:formatCode>0.0</c:formatCode>
                <c:ptCount val="5"/>
                <c:pt idx="0">
                  <c:v>-51.691093573844398</c:v>
                </c:pt>
                <c:pt idx="1">
                  <c:v>-61.840395113075118</c:v>
                </c:pt>
                <c:pt idx="2">
                  <c:v>-38.359046283309958</c:v>
                </c:pt>
                <c:pt idx="3">
                  <c:v>-41.666666666666671</c:v>
                </c:pt>
                <c:pt idx="4">
                  <c:v>-31.420765027322407</c:v>
                </c:pt>
              </c:numCache>
            </c:numRef>
          </c:val>
        </c:ser>
        <c:ser>
          <c:idx val="1"/>
          <c:order val="1"/>
          <c:tx>
            <c:strRef>
              <c:f>'Figure 2 e 3 new'!$C$21</c:f>
              <c:strCache>
                <c:ptCount val="1"/>
                <c:pt idx="0">
                  <c:v>Var.% 2015/2010</c:v>
                </c:pt>
              </c:strCache>
            </c:strRef>
          </c:tx>
          <c:spPr>
            <a:solidFill>
              <a:srgbClr val="002060"/>
            </a:solidFill>
          </c:spPr>
          <c:invertIfNegative val="0"/>
          <c:dLbls>
            <c:dLbl>
              <c:idx val="4"/>
              <c:layout>
                <c:manualLayout>
                  <c:x val="-5.9391239792130658E-3"/>
                  <c:y val="1.0666666666666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'Figure 2 e 3 new'!$A$22:$A$26</c:f>
              <c:strCache>
                <c:ptCount val="5"/>
                <c:pt idx="0">
                  <c:v>Totale </c:v>
                </c:pt>
                <c:pt idx="1">
                  <c:v>Autovetture</c:v>
                </c:pt>
                <c:pt idx="2">
                  <c:v>Due ruote a motore</c:v>
                </c:pt>
                <c:pt idx="3">
                  <c:v>Pedoni</c:v>
                </c:pt>
                <c:pt idx="4">
                  <c:v>Ciclisti</c:v>
                </c:pt>
              </c:strCache>
            </c:strRef>
          </c:cat>
          <c:val>
            <c:numRef>
              <c:f>'Figure 2 e 3 new'!$C$22:$C$26</c:f>
              <c:numCache>
                <c:formatCode>0.0</c:formatCode>
                <c:ptCount val="5"/>
                <c:pt idx="0">
                  <c:v>-16.674769081186195</c:v>
                </c:pt>
                <c:pt idx="1">
                  <c:v>-19.429198682766192</c:v>
                </c:pt>
                <c:pt idx="2">
                  <c:v>-24.027657735522904</c:v>
                </c:pt>
                <c:pt idx="3">
                  <c:v>-3.0595813204508859</c:v>
                </c:pt>
                <c:pt idx="4">
                  <c:v>-5.2830188679245289</c:v>
                </c:pt>
              </c:numCache>
            </c:numRef>
          </c:val>
        </c:ser>
        <c:ser>
          <c:idx val="2"/>
          <c:order val="2"/>
          <c:tx>
            <c:strRef>
              <c:f>'Figure 2 e 3 new'!$D$21</c:f>
              <c:strCache>
                <c:ptCount val="1"/>
                <c:pt idx="0">
                  <c:v>Var.% 2015/2014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+1,4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-1.066666666666666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+7,7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+4,2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-3.555835520559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'Figure 2 e 3 new'!$A$22:$A$26</c:f>
              <c:strCache>
                <c:ptCount val="5"/>
                <c:pt idx="0">
                  <c:v>Totale </c:v>
                </c:pt>
                <c:pt idx="1">
                  <c:v>Autovetture</c:v>
                </c:pt>
                <c:pt idx="2">
                  <c:v>Due ruote a motore</c:v>
                </c:pt>
                <c:pt idx="3">
                  <c:v>Pedoni</c:v>
                </c:pt>
                <c:pt idx="4">
                  <c:v>Ciclisti</c:v>
                </c:pt>
              </c:strCache>
            </c:strRef>
          </c:cat>
          <c:val>
            <c:numRef>
              <c:f>'Figure 2 e 3 new'!$D$22:$D$26</c:f>
              <c:numCache>
                <c:formatCode>0.0</c:formatCode>
                <c:ptCount val="5"/>
                <c:pt idx="0">
                  <c:v>1.3901212658976634</c:v>
                </c:pt>
                <c:pt idx="1">
                  <c:v>-1.5425888665325285</c:v>
                </c:pt>
                <c:pt idx="2">
                  <c:v>7.7205882352941178</c:v>
                </c:pt>
                <c:pt idx="3">
                  <c:v>4.1522491349480966</c:v>
                </c:pt>
                <c:pt idx="4">
                  <c:v>-8.0586080586080584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axId val="144334848"/>
        <c:axId val="164299904"/>
      </c:barChart>
      <c:catAx>
        <c:axId val="1443348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high"/>
        <c:crossAx val="164299904"/>
        <c:crosses val="autoZero"/>
        <c:auto val="1"/>
        <c:lblAlgn val="ctr"/>
        <c:lblOffset val="100"/>
        <c:noMultiLvlLbl val="0"/>
      </c:catAx>
      <c:valAx>
        <c:axId val="164299904"/>
        <c:scaling>
          <c:orientation val="minMax"/>
        </c:scaling>
        <c:delete val="0"/>
        <c:axPos val="b"/>
        <c:majorGridlines>
          <c:spPr>
            <a:ln>
              <a:noFill/>
            </a:ln>
          </c:spPr>
        </c:majorGridlines>
        <c:numFmt formatCode="0.0" sourceLinked="1"/>
        <c:majorTickMark val="out"/>
        <c:minorTickMark val="none"/>
        <c:tickLblPos val="nextTo"/>
        <c:crossAx val="144334848"/>
        <c:crosses val="autoZero"/>
        <c:crossBetween val="between"/>
      </c:valAx>
      <c:spPr>
        <a:noFill/>
        <a:ln>
          <a:noFill/>
        </a:ln>
      </c:spPr>
    </c:plotArea>
    <c:legend>
      <c:legendPos val="b"/>
      <c:layout>
        <c:manualLayout>
          <c:xMode val="edge"/>
          <c:yMode val="edge"/>
          <c:x val="0.23870186086338971"/>
          <c:y val="0.8827943333306022"/>
          <c:w val="0.64196776889577756"/>
          <c:h val="0.11362995985795893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147069401033476E-2"/>
          <c:y val="4.1758412942199771E-2"/>
          <c:w val="0.9337170764410897"/>
          <c:h val="0.656938174394867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'Due ruote_M tab 7 e 8 e fig 5'!$B$29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rgbClr val="002060"/>
            </a:solidFill>
          </c:spPr>
          <c:invertIfNegative val="0"/>
          <c:cat>
            <c:strRef>
              <c:f>'Due ruote_M tab 7 e 8 e fig 5'!$A$30:$A$52</c:f>
              <c:strCache>
                <c:ptCount val="23"/>
                <c:pt idx="0">
                  <c:v>Piemonte</c:v>
                </c:pt>
                <c:pt idx="1">
                  <c:v>Valle d'Aosta</c:v>
                </c:pt>
                <c:pt idx="2">
                  <c:v>Liguria</c:v>
                </c:pt>
                <c:pt idx="3">
                  <c:v>Lombardia</c:v>
                </c:pt>
                <c:pt idx="4">
                  <c:v>Trentino Alto Adige</c:v>
                </c:pt>
                <c:pt idx="5">
                  <c:v>Bolzano/Bozen</c:v>
                </c:pt>
                <c:pt idx="6">
                  <c:v>Trento</c:v>
                </c:pt>
                <c:pt idx="7">
                  <c:v>Veneto</c:v>
                </c:pt>
                <c:pt idx="8">
                  <c:v>Friuli Venezia Giulia</c:v>
                </c:pt>
                <c:pt idx="9">
                  <c:v>Emilia Romagna</c:v>
                </c:pt>
                <c:pt idx="10">
                  <c:v>Toscana</c:v>
                </c:pt>
                <c:pt idx="11">
                  <c:v>Umbria</c:v>
                </c:pt>
                <c:pt idx="12">
                  <c:v>Marche</c:v>
                </c:pt>
                <c:pt idx="13">
                  <c:v>Lazio</c:v>
                </c:pt>
                <c:pt idx="14">
                  <c:v>Abruzzo</c:v>
                </c:pt>
                <c:pt idx="15">
                  <c:v>Molise</c:v>
                </c:pt>
                <c:pt idx="16">
                  <c:v>Campania</c:v>
                </c:pt>
                <c:pt idx="17">
                  <c:v>Puglia</c:v>
                </c:pt>
                <c:pt idx="18">
                  <c:v>Basilicata</c:v>
                </c:pt>
                <c:pt idx="19">
                  <c:v>Calabria </c:v>
                </c:pt>
                <c:pt idx="20">
                  <c:v>Sicilia</c:v>
                </c:pt>
                <c:pt idx="21">
                  <c:v>Sardegna</c:v>
                </c:pt>
                <c:pt idx="22">
                  <c:v>Italia</c:v>
                </c:pt>
              </c:strCache>
            </c:strRef>
          </c:cat>
          <c:val>
            <c:numRef>
              <c:f>'Due ruote_M tab 7 e 8 e fig 5'!$B$30:$B$52</c:f>
              <c:numCache>
                <c:formatCode>_-* #,##0.0_-;\-* #,##0.0_-;_-* "-"??_-;_-@_-</c:formatCode>
                <c:ptCount val="23"/>
                <c:pt idx="0">
                  <c:v>1.2376308536788005</c:v>
                </c:pt>
                <c:pt idx="1">
                  <c:v>0.78911961869740022</c:v>
                </c:pt>
                <c:pt idx="2">
                  <c:v>0.88872666100632436</c:v>
                </c:pt>
                <c:pt idx="3">
                  <c:v>1.0070167787163162</c:v>
                </c:pt>
                <c:pt idx="4">
                  <c:v>0.97971404106569371</c:v>
                </c:pt>
                <c:pt idx="5">
                  <c:v>0.9998700168978033</c:v>
                </c:pt>
                <c:pt idx="6">
                  <c:v>0.96035463976137114</c:v>
                </c:pt>
                <c:pt idx="7">
                  <c:v>0.94905131489512307</c:v>
                </c:pt>
                <c:pt idx="8">
                  <c:v>0.90074671903007586</c:v>
                </c:pt>
                <c:pt idx="9">
                  <c:v>1.5281267354223367</c:v>
                </c:pt>
                <c:pt idx="10">
                  <c:v>1.7471330638380582</c:v>
                </c:pt>
                <c:pt idx="11">
                  <c:v>1.3603807252189646</c:v>
                </c:pt>
                <c:pt idx="12">
                  <c:v>1.4275415593036451</c:v>
                </c:pt>
                <c:pt idx="13">
                  <c:v>1.3913635683349452</c:v>
                </c:pt>
                <c:pt idx="14">
                  <c:v>0.7648034397799508</c:v>
                </c:pt>
                <c:pt idx="15">
                  <c:v>1.2700872232400562</c:v>
                </c:pt>
                <c:pt idx="16">
                  <c:v>0.53799713212819089</c:v>
                </c:pt>
                <c:pt idx="17">
                  <c:v>0.64184258193521704</c:v>
                </c:pt>
                <c:pt idx="18">
                  <c:v>0.86169902920987373</c:v>
                </c:pt>
                <c:pt idx="19">
                  <c:v>0.71261470551706296</c:v>
                </c:pt>
                <c:pt idx="20">
                  <c:v>0.9397100054923051</c:v>
                </c:pt>
                <c:pt idx="21">
                  <c:v>0.67011307853603441</c:v>
                </c:pt>
                <c:pt idx="22">
                  <c:v>1.0476165067011651</c:v>
                </c:pt>
              </c:numCache>
            </c:numRef>
          </c:val>
        </c:ser>
        <c:ser>
          <c:idx val="1"/>
          <c:order val="1"/>
          <c:tx>
            <c:strRef>
              <c:f>'Due ruote_M tab 7 e 8 e fig 5'!$D$29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</c:spPr>
          <c:invertIfNegative val="0"/>
          <c:cat>
            <c:strRef>
              <c:f>'Due ruote_M tab 7 e 8 e fig 5'!$A$30:$A$52</c:f>
              <c:strCache>
                <c:ptCount val="23"/>
                <c:pt idx="0">
                  <c:v>Piemonte</c:v>
                </c:pt>
                <c:pt idx="1">
                  <c:v>Valle d'Aosta</c:v>
                </c:pt>
                <c:pt idx="2">
                  <c:v>Liguria</c:v>
                </c:pt>
                <c:pt idx="3">
                  <c:v>Lombardia</c:v>
                </c:pt>
                <c:pt idx="4">
                  <c:v>Trentino Alto Adige</c:v>
                </c:pt>
                <c:pt idx="5">
                  <c:v>Bolzano/Bozen</c:v>
                </c:pt>
                <c:pt idx="6">
                  <c:v>Trento</c:v>
                </c:pt>
                <c:pt idx="7">
                  <c:v>Veneto</c:v>
                </c:pt>
                <c:pt idx="8">
                  <c:v>Friuli Venezia Giulia</c:v>
                </c:pt>
                <c:pt idx="9">
                  <c:v>Emilia Romagna</c:v>
                </c:pt>
                <c:pt idx="10">
                  <c:v>Toscana</c:v>
                </c:pt>
                <c:pt idx="11">
                  <c:v>Umbria</c:v>
                </c:pt>
                <c:pt idx="12">
                  <c:v>Marche</c:v>
                </c:pt>
                <c:pt idx="13">
                  <c:v>Lazio</c:v>
                </c:pt>
                <c:pt idx="14">
                  <c:v>Abruzzo</c:v>
                </c:pt>
                <c:pt idx="15">
                  <c:v>Molise</c:v>
                </c:pt>
                <c:pt idx="16">
                  <c:v>Campania</c:v>
                </c:pt>
                <c:pt idx="17">
                  <c:v>Puglia</c:v>
                </c:pt>
                <c:pt idx="18">
                  <c:v>Basilicata</c:v>
                </c:pt>
                <c:pt idx="19">
                  <c:v>Calabria </c:v>
                </c:pt>
                <c:pt idx="20">
                  <c:v>Sicilia</c:v>
                </c:pt>
                <c:pt idx="21">
                  <c:v>Sardegna</c:v>
                </c:pt>
                <c:pt idx="22">
                  <c:v>Italia</c:v>
                </c:pt>
              </c:strCache>
            </c:strRef>
          </c:cat>
          <c:val>
            <c:numRef>
              <c:f>'Due ruote_M tab 7 e 8 e fig 5'!$D$30:$D$52</c:f>
              <c:numCache>
                <c:formatCode>_(* #,##0.00_);_(* \(#,##0.00\);_(* "-"??_);_(@_)</c:formatCode>
                <c:ptCount val="23"/>
                <c:pt idx="0">
                  <c:v>1.4951216558970712</c:v>
                </c:pt>
                <c:pt idx="1">
                  <c:v>1.5647799332621357</c:v>
                </c:pt>
                <c:pt idx="2">
                  <c:v>1.9021556495924949</c:v>
                </c:pt>
                <c:pt idx="3">
                  <c:v>1.1593644364159568</c:v>
                </c:pt>
                <c:pt idx="4">
                  <c:v>3.3096175595069237</c:v>
                </c:pt>
                <c:pt idx="5">
                  <c:v>4.2331748137643608</c:v>
                </c:pt>
                <c:pt idx="6">
                  <c:v>2.4171678416271627</c:v>
                </c:pt>
                <c:pt idx="7">
                  <c:v>1.8084433782982121</c:v>
                </c:pt>
                <c:pt idx="8">
                  <c:v>0.98025601019466246</c:v>
                </c:pt>
                <c:pt idx="9">
                  <c:v>1.5957469522918859</c:v>
                </c:pt>
                <c:pt idx="10">
                  <c:v>1.8140463744949349</c:v>
                </c:pt>
                <c:pt idx="11">
                  <c:v>1.4558135394018734</c:v>
                </c:pt>
                <c:pt idx="12">
                  <c:v>1.1633362933779019</c:v>
                </c:pt>
                <c:pt idx="13">
                  <c:v>1.6976635989602489</c:v>
                </c:pt>
                <c:pt idx="14">
                  <c:v>1.1286312299033101</c:v>
                </c:pt>
                <c:pt idx="15">
                  <c:v>0.95942434539276433</c:v>
                </c:pt>
                <c:pt idx="16">
                  <c:v>1.0245570092975989</c:v>
                </c:pt>
                <c:pt idx="17">
                  <c:v>1.175423222763148</c:v>
                </c:pt>
                <c:pt idx="18">
                  <c:v>1.3909257741153929</c:v>
                </c:pt>
                <c:pt idx="19">
                  <c:v>0.70937222584790249</c:v>
                </c:pt>
                <c:pt idx="20">
                  <c:v>1.4164388151056511</c:v>
                </c:pt>
                <c:pt idx="21">
                  <c:v>2.2881751923271465</c:v>
                </c:pt>
                <c:pt idx="22">
                  <c:v>1.4457296115302305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7"/>
        <c:axId val="144335360"/>
        <c:axId val="164302784"/>
      </c:barChart>
      <c:catAx>
        <c:axId val="1443353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it-IT"/>
          </a:p>
        </c:txPr>
        <c:crossAx val="164302784"/>
        <c:crosses val="autoZero"/>
        <c:auto val="1"/>
        <c:lblAlgn val="ctr"/>
        <c:lblOffset val="100"/>
        <c:noMultiLvlLbl val="0"/>
      </c:catAx>
      <c:valAx>
        <c:axId val="164302784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.0" sourceLinked="0"/>
        <c:majorTickMark val="out"/>
        <c:minorTickMark val="none"/>
        <c:tickLblPos val="nextTo"/>
        <c:crossAx val="144335360"/>
        <c:crosses val="autoZero"/>
        <c:crossBetween val="between"/>
      </c:valAx>
      <c:spPr>
        <a:noFill/>
        <a:ln>
          <a:noFill/>
        </a:ln>
      </c:spPr>
    </c:plotArea>
    <c:legend>
      <c:legendPos val="r"/>
      <c:layout>
        <c:manualLayout>
          <c:xMode val="edge"/>
          <c:yMode val="edge"/>
          <c:x val="0.71713490469668839"/>
          <c:y val="0.89263294312969832"/>
          <c:w val="0.28286509530331166"/>
          <c:h val="0.10736705687030169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147069401033476E-2"/>
          <c:y val="4.9072965323925889E-2"/>
          <c:w val="0.9337170764410897"/>
          <c:h val="0.5723045396897458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'Pedoni_ fig 5'!$B$29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rgbClr val="002060"/>
            </a:solidFill>
          </c:spPr>
          <c:invertIfNegative val="0"/>
          <c:cat>
            <c:strRef>
              <c:f>'Pedoni_ fig 5'!$A$30:$A$52</c:f>
              <c:strCache>
                <c:ptCount val="23"/>
                <c:pt idx="0">
                  <c:v>Piemonte</c:v>
                </c:pt>
                <c:pt idx="1">
                  <c:v>Valle d'Aosta</c:v>
                </c:pt>
                <c:pt idx="2">
                  <c:v>Liguria</c:v>
                </c:pt>
                <c:pt idx="3">
                  <c:v>Lombardia</c:v>
                </c:pt>
                <c:pt idx="4">
                  <c:v>Trentino Alto Adige</c:v>
                </c:pt>
                <c:pt idx="5">
                  <c:v>Bolzano/Bozen</c:v>
                </c:pt>
                <c:pt idx="6">
                  <c:v>Trento</c:v>
                </c:pt>
                <c:pt idx="7">
                  <c:v>Veneto</c:v>
                </c:pt>
                <c:pt idx="8">
                  <c:v>Friuli Venezia Giulia</c:v>
                </c:pt>
                <c:pt idx="9">
                  <c:v>Emilia Romagna</c:v>
                </c:pt>
                <c:pt idx="10">
                  <c:v>Toscana</c:v>
                </c:pt>
                <c:pt idx="11">
                  <c:v>Umbria</c:v>
                </c:pt>
                <c:pt idx="12">
                  <c:v>Marche</c:v>
                </c:pt>
                <c:pt idx="13">
                  <c:v>Lazio</c:v>
                </c:pt>
                <c:pt idx="14">
                  <c:v>Abruzzo</c:v>
                </c:pt>
                <c:pt idx="15">
                  <c:v>Molise</c:v>
                </c:pt>
                <c:pt idx="16">
                  <c:v>Campania</c:v>
                </c:pt>
                <c:pt idx="17">
                  <c:v>Puglia</c:v>
                </c:pt>
                <c:pt idx="18">
                  <c:v>Basilicata</c:v>
                </c:pt>
                <c:pt idx="19">
                  <c:v>Calabria </c:v>
                </c:pt>
                <c:pt idx="20">
                  <c:v>Sicilia</c:v>
                </c:pt>
                <c:pt idx="21">
                  <c:v>Sardegna</c:v>
                </c:pt>
                <c:pt idx="22">
                  <c:v>Italia</c:v>
                </c:pt>
              </c:strCache>
            </c:strRef>
          </c:cat>
          <c:val>
            <c:numRef>
              <c:f>'Pedoni_ fig 5'!$B$30:$B$52</c:f>
              <c:numCache>
                <c:formatCode>_-* #,##0.0_-;\-* #,##0.0_-;_-* "-"??_-;_-@_-</c:formatCode>
                <c:ptCount val="23"/>
                <c:pt idx="0">
                  <c:v>1.2376308536788005</c:v>
                </c:pt>
                <c:pt idx="1">
                  <c:v>0.78911961869740022</c:v>
                </c:pt>
                <c:pt idx="2">
                  <c:v>0.88872666100632403</c:v>
                </c:pt>
                <c:pt idx="3">
                  <c:v>1.0070167787163162</c:v>
                </c:pt>
                <c:pt idx="4">
                  <c:v>0.97971404106569371</c:v>
                </c:pt>
                <c:pt idx="5">
                  <c:v>0.9998700168978033</c:v>
                </c:pt>
                <c:pt idx="6">
                  <c:v>0.96035463976137114</c:v>
                </c:pt>
                <c:pt idx="7">
                  <c:v>0.94905131489512307</c:v>
                </c:pt>
                <c:pt idx="8">
                  <c:v>0.90074671903007586</c:v>
                </c:pt>
                <c:pt idx="9">
                  <c:v>1.5281267354223367</c:v>
                </c:pt>
                <c:pt idx="10">
                  <c:v>1.7471330638380582</c:v>
                </c:pt>
                <c:pt idx="11">
                  <c:v>1.3603807252189646</c:v>
                </c:pt>
                <c:pt idx="12">
                  <c:v>1.4275415593036451</c:v>
                </c:pt>
                <c:pt idx="13">
                  <c:v>1.3913635683349452</c:v>
                </c:pt>
                <c:pt idx="14">
                  <c:v>0.7648034397799508</c:v>
                </c:pt>
                <c:pt idx="15">
                  <c:v>1.2700872232400562</c:v>
                </c:pt>
                <c:pt idx="16">
                  <c:v>0.53799713212819089</c:v>
                </c:pt>
                <c:pt idx="17">
                  <c:v>0.64184258193521704</c:v>
                </c:pt>
                <c:pt idx="18">
                  <c:v>0.86169902920987373</c:v>
                </c:pt>
                <c:pt idx="19">
                  <c:v>0.71261470551706296</c:v>
                </c:pt>
                <c:pt idx="20">
                  <c:v>0.9397100054923051</c:v>
                </c:pt>
                <c:pt idx="21">
                  <c:v>0.67011307853603441</c:v>
                </c:pt>
                <c:pt idx="22">
                  <c:v>1.0476165067011651</c:v>
                </c:pt>
              </c:numCache>
            </c:numRef>
          </c:val>
        </c:ser>
        <c:ser>
          <c:idx val="1"/>
          <c:order val="1"/>
          <c:tx>
            <c:strRef>
              <c:f>'Pedoni_ fig 5'!$D$29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</c:spPr>
          <c:invertIfNegative val="0"/>
          <c:cat>
            <c:strRef>
              <c:f>'Pedoni_ fig 5'!$A$30:$A$52</c:f>
              <c:strCache>
                <c:ptCount val="23"/>
                <c:pt idx="0">
                  <c:v>Piemonte</c:v>
                </c:pt>
                <c:pt idx="1">
                  <c:v>Valle d'Aosta</c:v>
                </c:pt>
                <c:pt idx="2">
                  <c:v>Liguria</c:v>
                </c:pt>
                <c:pt idx="3">
                  <c:v>Lombardia</c:v>
                </c:pt>
                <c:pt idx="4">
                  <c:v>Trentino Alto Adige</c:v>
                </c:pt>
                <c:pt idx="5">
                  <c:v>Bolzano/Bozen</c:v>
                </c:pt>
                <c:pt idx="6">
                  <c:v>Trento</c:v>
                </c:pt>
                <c:pt idx="7">
                  <c:v>Veneto</c:v>
                </c:pt>
                <c:pt idx="8">
                  <c:v>Friuli Venezia Giulia</c:v>
                </c:pt>
                <c:pt idx="9">
                  <c:v>Emilia Romagna</c:v>
                </c:pt>
                <c:pt idx="10">
                  <c:v>Toscana</c:v>
                </c:pt>
                <c:pt idx="11">
                  <c:v>Umbria</c:v>
                </c:pt>
                <c:pt idx="12">
                  <c:v>Marche</c:v>
                </c:pt>
                <c:pt idx="13">
                  <c:v>Lazio</c:v>
                </c:pt>
                <c:pt idx="14">
                  <c:v>Abruzzo</c:v>
                </c:pt>
                <c:pt idx="15">
                  <c:v>Molise</c:v>
                </c:pt>
                <c:pt idx="16">
                  <c:v>Campania</c:v>
                </c:pt>
                <c:pt idx="17">
                  <c:v>Puglia</c:v>
                </c:pt>
                <c:pt idx="18">
                  <c:v>Basilicata</c:v>
                </c:pt>
                <c:pt idx="19">
                  <c:v>Calabria </c:v>
                </c:pt>
                <c:pt idx="20">
                  <c:v>Sicilia</c:v>
                </c:pt>
                <c:pt idx="21">
                  <c:v>Sardegna</c:v>
                </c:pt>
                <c:pt idx="22">
                  <c:v>Italia</c:v>
                </c:pt>
              </c:strCache>
            </c:strRef>
          </c:cat>
          <c:val>
            <c:numRef>
              <c:f>'Pedoni_ fig 5'!$D$30:$D$52</c:f>
              <c:numCache>
                <c:formatCode>_(* #,##0.00_);_(* \(#,##0.00\);_(* "-"??_);_(@_)</c:formatCode>
                <c:ptCount val="23"/>
                <c:pt idx="0">
                  <c:v>0.77021418637121852</c:v>
                </c:pt>
                <c:pt idx="1">
                  <c:v>1.5647799332621357</c:v>
                </c:pt>
                <c:pt idx="2">
                  <c:v>1.3315089547147463</c:v>
                </c:pt>
                <c:pt idx="3">
                  <c:v>0.81955072229403836</c:v>
                </c:pt>
                <c:pt idx="4">
                  <c:v>1.0401655187021761</c:v>
                </c:pt>
                <c:pt idx="5">
                  <c:v>0.76966814795715643</c:v>
                </c:pt>
                <c:pt idx="6">
                  <c:v>1.3015519147223187</c:v>
                </c:pt>
                <c:pt idx="7">
                  <c:v>0.81278354080818527</c:v>
                </c:pt>
                <c:pt idx="8">
                  <c:v>0.81688000849555209</c:v>
                </c:pt>
                <c:pt idx="9">
                  <c:v>1.1237654593604829</c:v>
                </c:pt>
                <c:pt idx="10">
                  <c:v>1.4672433911356091</c:v>
                </c:pt>
                <c:pt idx="11">
                  <c:v>1.5677991962789406</c:v>
                </c:pt>
                <c:pt idx="12">
                  <c:v>1.5511150578372028</c:v>
                </c:pt>
                <c:pt idx="13">
                  <c:v>1.4769673310954168</c:v>
                </c:pt>
                <c:pt idx="14">
                  <c:v>0.97814706591620215</c:v>
                </c:pt>
                <c:pt idx="15">
                  <c:v>1.5990405756546073</c:v>
                </c:pt>
                <c:pt idx="16">
                  <c:v>0.78549370712815891</c:v>
                </c:pt>
                <c:pt idx="17">
                  <c:v>0.66117556280427081</c:v>
                </c:pt>
                <c:pt idx="18">
                  <c:v>1.2170600523509689</c:v>
                </c:pt>
                <c:pt idx="19">
                  <c:v>0.70937222584790249</c:v>
                </c:pt>
                <c:pt idx="20">
                  <c:v>0.885274259441032</c:v>
                </c:pt>
                <c:pt idx="21">
                  <c:v>0.90322704960282096</c:v>
                </c:pt>
                <c:pt idx="22">
                  <c:v>0.99126335551389388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7"/>
        <c:axId val="144518656"/>
        <c:axId val="164302208"/>
      </c:barChart>
      <c:catAx>
        <c:axId val="14451865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it-IT"/>
          </a:p>
        </c:txPr>
        <c:crossAx val="164302208"/>
        <c:crosses val="autoZero"/>
        <c:auto val="1"/>
        <c:lblAlgn val="ctr"/>
        <c:lblOffset val="100"/>
        <c:noMultiLvlLbl val="0"/>
      </c:catAx>
      <c:valAx>
        <c:axId val="164302208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.0" sourceLinked="0"/>
        <c:majorTickMark val="out"/>
        <c:minorTickMark val="none"/>
        <c:tickLblPos val="nextTo"/>
        <c:crossAx val="144518656"/>
        <c:crosses val="autoZero"/>
        <c:crossBetween val="between"/>
      </c:valAx>
      <c:spPr>
        <a:noFill/>
        <a:ln>
          <a:noFill/>
        </a:ln>
      </c:spPr>
    </c:plotArea>
    <c:legend>
      <c:legendPos val="r"/>
      <c:layout>
        <c:manualLayout>
          <c:xMode val="edge"/>
          <c:yMode val="edge"/>
          <c:x val="0.71713490469668839"/>
          <c:y val="0.89263294312969832"/>
          <c:w val="0.28286509530331166"/>
          <c:h val="0.10736705687030169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0835093784008698E-2"/>
          <c:y val="2.0909900603267313E-2"/>
          <c:w val="0.91626960501888488"/>
          <c:h val="0.500959091280326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'Ciclisti_M_ tab5 e 6  e fig 4'!$C$28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rgbClr val="002060"/>
            </a:solidFill>
          </c:spPr>
          <c:invertIfNegative val="0"/>
          <c:cat>
            <c:strRef>
              <c:f>'Ciclisti_M_ tab5 e 6  e fig 4'!$A$29:$A$51</c:f>
              <c:strCache>
                <c:ptCount val="23"/>
                <c:pt idx="0">
                  <c:v>Piemonte</c:v>
                </c:pt>
                <c:pt idx="1">
                  <c:v>Valle d'Aosta</c:v>
                </c:pt>
                <c:pt idx="2">
                  <c:v>Liguria</c:v>
                </c:pt>
                <c:pt idx="3">
                  <c:v>Lombardia</c:v>
                </c:pt>
                <c:pt idx="4">
                  <c:v>Trentino Alto Adige</c:v>
                </c:pt>
                <c:pt idx="5">
                  <c:v>Bolzano/Bozen</c:v>
                </c:pt>
                <c:pt idx="6">
                  <c:v>Trento</c:v>
                </c:pt>
                <c:pt idx="7">
                  <c:v>Veneto</c:v>
                </c:pt>
                <c:pt idx="8">
                  <c:v>Friuli Venezia Giulia</c:v>
                </c:pt>
                <c:pt idx="9">
                  <c:v>Emilia Romagna</c:v>
                </c:pt>
                <c:pt idx="10">
                  <c:v>Toscana</c:v>
                </c:pt>
                <c:pt idx="11">
                  <c:v>Umbria</c:v>
                </c:pt>
                <c:pt idx="12">
                  <c:v>Marche</c:v>
                </c:pt>
                <c:pt idx="13">
                  <c:v>Lazio</c:v>
                </c:pt>
                <c:pt idx="14">
                  <c:v>Abruzzo</c:v>
                </c:pt>
                <c:pt idx="15">
                  <c:v>Molise</c:v>
                </c:pt>
                <c:pt idx="16">
                  <c:v>Campania</c:v>
                </c:pt>
                <c:pt idx="17">
                  <c:v>Puglia</c:v>
                </c:pt>
                <c:pt idx="18">
                  <c:v>Basilicata</c:v>
                </c:pt>
                <c:pt idx="19">
                  <c:v>Calabria </c:v>
                </c:pt>
                <c:pt idx="20">
                  <c:v>Sicilia</c:v>
                </c:pt>
                <c:pt idx="21">
                  <c:v>Sardegna</c:v>
                </c:pt>
                <c:pt idx="22">
                  <c:v>Italia</c:v>
                </c:pt>
              </c:strCache>
            </c:strRef>
          </c:cat>
          <c:val>
            <c:numRef>
              <c:f>'Ciclisti_M_ tab5 e 6  e fig 4'!$C$29:$C$51</c:f>
              <c:numCache>
                <c:formatCode>_(* #,##0.00_);_(* \(#,##0.00\);_(* "-"??_);_(@_)</c:formatCode>
                <c:ptCount val="23"/>
                <c:pt idx="0">
                  <c:v>0.61881542683940027</c:v>
                </c:pt>
                <c:pt idx="1">
                  <c:v>0</c:v>
                </c:pt>
                <c:pt idx="2">
                  <c:v>6.3480475786166016E-2</c:v>
                </c:pt>
                <c:pt idx="3">
                  <c:v>0.43602788356788952</c:v>
                </c:pt>
                <c:pt idx="4">
                  <c:v>0.2939142123197081</c:v>
                </c:pt>
                <c:pt idx="5">
                  <c:v>0.59992201013868196</c:v>
                </c:pt>
                <c:pt idx="6">
                  <c:v>0</c:v>
                </c:pt>
                <c:pt idx="7">
                  <c:v>0.80463046262847404</c:v>
                </c:pt>
                <c:pt idx="8">
                  <c:v>1.1464049151291875</c:v>
                </c:pt>
                <c:pt idx="9">
                  <c:v>1.1576717692593459</c:v>
                </c:pt>
                <c:pt idx="10">
                  <c:v>0.65517489893927183</c:v>
                </c:pt>
                <c:pt idx="11">
                  <c:v>0.22673012086982744</c:v>
                </c:pt>
                <c:pt idx="12">
                  <c:v>0.32444126347810121</c:v>
                </c:pt>
                <c:pt idx="13">
                  <c:v>0.25630381521959517</c:v>
                </c:pt>
                <c:pt idx="14">
                  <c:v>0.61184275182396064</c:v>
                </c:pt>
                <c:pt idx="15">
                  <c:v>0</c:v>
                </c:pt>
                <c:pt idx="16">
                  <c:v>0.10412847718610145</c:v>
                </c:pt>
                <c:pt idx="17">
                  <c:v>0.24686253151354504</c:v>
                </c:pt>
                <c:pt idx="18">
                  <c:v>0.17233980584197475</c:v>
                </c:pt>
                <c:pt idx="19">
                  <c:v>0.20360420157630374</c:v>
                </c:pt>
                <c:pt idx="20">
                  <c:v>0.17994446913682438</c:v>
                </c:pt>
                <c:pt idx="21">
                  <c:v>0.24367748310401252</c:v>
                </c:pt>
                <c:pt idx="22">
                  <c:v>0.44367655597811012</c:v>
                </c:pt>
              </c:numCache>
            </c:numRef>
          </c:val>
        </c:ser>
        <c:ser>
          <c:idx val="1"/>
          <c:order val="1"/>
          <c:tx>
            <c:strRef>
              <c:f>'Ciclisti_M_ tab5 e 6  e fig 4'!$H$28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</c:spPr>
          <c:invertIfNegative val="0"/>
          <c:cat>
            <c:strRef>
              <c:f>'Ciclisti_M_ tab5 e 6  e fig 4'!$A$29:$A$51</c:f>
              <c:strCache>
                <c:ptCount val="23"/>
                <c:pt idx="0">
                  <c:v>Piemonte</c:v>
                </c:pt>
                <c:pt idx="1">
                  <c:v>Valle d'Aosta</c:v>
                </c:pt>
                <c:pt idx="2">
                  <c:v>Liguria</c:v>
                </c:pt>
                <c:pt idx="3">
                  <c:v>Lombardia</c:v>
                </c:pt>
                <c:pt idx="4">
                  <c:v>Trentino Alto Adige</c:v>
                </c:pt>
                <c:pt idx="5">
                  <c:v>Bolzano/Bozen</c:v>
                </c:pt>
                <c:pt idx="6">
                  <c:v>Trento</c:v>
                </c:pt>
                <c:pt idx="7">
                  <c:v>Veneto</c:v>
                </c:pt>
                <c:pt idx="8">
                  <c:v>Friuli Venezia Giulia</c:v>
                </c:pt>
                <c:pt idx="9">
                  <c:v>Emilia Romagna</c:v>
                </c:pt>
                <c:pt idx="10">
                  <c:v>Toscana</c:v>
                </c:pt>
                <c:pt idx="11">
                  <c:v>Umbria</c:v>
                </c:pt>
                <c:pt idx="12">
                  <c:v>Marche</c:v>
                </c:pt>
                <c:pt idx="13">
                  <c:v>Lazio</c:v>
                </c:pt>
                <c:pt idx="14">
                  <c:v>Abruzzo</c:v>
                </c:pt>
                <c:pt idx="15">
                  <c:v>Molise</c:v>
                </c:pt>
                <c:pt idx="16">
                  <c:v>Campania</c:v>
                </c:pt>
                <c:pt idx="17">
                  <c:v>Puglia</c:v>
                </c:pt>
                <c:pt idx="18">
                  <c:v>Basilicata</c:v>
                </c:pt>
                <c:pt idx="19">
                  <c:v>Calabria </c:v>
                </c:pt>
                <c:pt idx="20">
                  <c:v>Sicilia</c:v>
                </c:pt>
                <c:pt idx="21">
                  <c:v>Sardegna</c:v>
                </c:pt>
                <c:pt idx="22">
                  <c:v>Italia</c:v>
                </c:pt>
              </c:strCache>
            </c:strRef>
          </c:cat>
          <c:val>
            <c:numRef>
              <c:f>'Ciclisti_M_ tab5 e 6  e fig 4'!$H$29:$H$51</c:f>
              <c:numCache>
                <c:formatCode>_(* #,##0.00_);_(* \(#,##0.00\);_(* "-"??_);_(@_)</c:formatCode>
                <c:ptCount val="23"/>
                <c:pt idx="0">
                  <c:v>0.29449365949487766</c:v>
                </c:pt>
                <c:pt idx="1">
                  <c:v>0</c:v>
                </c:pt>
                <c:pt idx="2">
                  <c:v>0.44383631823824882</c:v>
                </c:pt>
                <c:pt idx="3">
                  <c:v>0.49972605017929173</c:v>
                </c:pt>
                <c:pt idx="4">
                  <c:v>0.28368150510059342</c:v>
                </c:pt>
                <c:pt idx="5">
                  <c:v>0</c:v>
                </c:pt>
                <c:pt idx="6">
                  <c:v>0.55780796345242223</c:v>
                </c:pt>
                <c:pt idx="7">
                  <c:v>0.79246395228798072</c:v>
                </c:pt>
                <c:pt idx="8">
                  <c:v>0.89856800934510728</c:v>
                </c:pt>
                <c:pt idx="9">
                  <c:v>0.85406174911396715</c:v>
                </c:pt>
                <c:pt idx="10">
                  <c:v>0.74696027185085545</c:v>
                </c:pt>
                <c:pt idx="11">
                  <c:v>0.33595697063120156</c:v>
                </c:pt>
                <c:pt idx="12">
                  <c:v>0.51703835261240094</c:v>
                </c:pt>
                <c:pt idx="13">
                  <c:v>0.23767290385443485</c:v>
                </c:pt>
                <c:pt idx="14">
                  <c:v>0.22572624598066204</c:v>
                </c:pt>
                <c:pt idx="15">
                  <c:v>0.31980811513092144</c:v>
                </c:pt>
                <c:pt idx="16">
                  <c:v>0.10245570092975988</c:v>
                </c:pt>
                <c:pt idx="17">
                  <c:v>0.26936782188322145</c:v>
                </c:pt>
                <c:pt idx="18">
                  <c:v>0.34773144352884822</c:v>
                </c:pt>
                <c:pt idx="19">
                  <c:v>0.10133888940684321</c:v>
                </c:pt>
                <c:pt idx="20">
                  <c:v>0.17705485188820638</c:v>
                </c:pt>
                <c:pt idx="21">
                  <c:v>0.18064540992056419</c:v>
                </c:pt>
                <c:pt idx="22">
                  <c:v>0.41330083427572645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"/>
        <c:axId val="144335872"/>
        <c:axId val="139223040"/>
      </c:barChart>
      <c:catAx>
        <c:axId val="14433587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it-IT"/>
          </a:p>
        </c:txPr>
        <c:crossAx val="139223040"/>
        <c:crosses val="autoZero"/>
        <c:auto val="1"/>
        <c:lblAlgn val="ctr"/>
        <c:lblOffset val="100"/>
        <c:noMultiLvlLbl val="0"/>
      </c:catAx>
      <c:valAx>
        <c:axId val="139223040"/>
        <c:scaling>
          <c:orientation val="minMax"/>
          <c:min val="0"/>
        </c:scaling>
        <c:delete val="0"/>
        <c:axPos val="l"/>
        <c:majorGridlines>
          <c:spPr>
            <a:ln>
              <a:noFill/>
            </a:ln>
          </c:spPr>
        </c:majorGridlines>
        <c:numFmt formatCode="_(* #,##0.00_);_(* \(#,##0.00\);_(* &quot;-&quot;??_);_(@_)" sourceLinked="1"/>
        <c:majorTickMark val="out"/>
        <c:minorTickMark val="none"/>
        <c:tickLblPos val="nextTo"/>
        <c:crossAx val="144335872"/>
        <c:crosses val="autoZero"/>
        <c:crossBetween val="between"/>
      </c:valAx>
      <c:spPr>
        <a:noFill/>
        <a:ln>
          <a:noFill/>
        </a:ln>
      </c:spPr>
    </c:plotArea>
    <c:legend>
      <c:legendPos val="r"/>
      <c:layout>
        <c:manualLayout>
          <c:xMode val="edge"/>
          <c:yMode val="edge"/>
          <c:x val="0.58156616093719993"/>
          <c:y val="0.87665412894866379"/>
          <c:w val="0.2903622852770002"/>
          <c:h val="0.12334584534417246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004231936249717E-2"/>
          <c:y val="9.8745361118311087E-2"/>
          <c:w val="0.84785614324975966"/>
          <c:h val="0.70309418968405757"/>
        </c:manualLayout>
      </c:layout>
      <c:barChart>
        <c:barDir val="col"/>
        <c:grouping val="clustered"/>
        <c:varyColors val="0"/>
        <c:ser>
          <c:idx val="2"/>
          <c:order val="1"/>
          <c:tx>
            <c:strRef>
              <c:f>Foglio10!$R$1</c:f>
              <c:strCache>
                <c:ptCount val="1"/>
                <c:pt idx="0">
                  <c:v>Morti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38100">
              <a:noFill/>
            </a:ln>
          </c:spPr>
          <c:invertIfNegative val="0"/>
          <c:dPt>
            <c:idx val="9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Lbls>
            <c:dLbl>
              <c:idx val="0"/>
              <c:layout>
                <c:manualLayout>
                  <c:x val="0"/>
                  <c:y val="2.2371364653243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216995637784069E-16"/>
                  <c:y val="1.7897091722595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Foglio10!$P$2:$P$16</c:f>
              <c:numCache>
                <c:formatCode>General</c:formatCode>
                <c:ptCount val="15"/>
                <c:pt idx="0">
                  <c:v>2001</c:v>
                </c:pt>
                <c:pt idx="1">
                  <c:v>2002</c:v>
                </c:pt>
                <c:pt idx="2">
                  <c:v>2003</c:v>
                </c:pt>
                <c:pt idx="3">
                  <c:v>2004</c:v>
                </c:pt>
                <c:pt idx="4">
                  <c:v>2005</c:v>
                </c:pt>
                <c:pt idx="5">
                  <c:v>2006</c:v>
                </c:pt>
                <c:pt idx="6">
                  <c:v>2007</c:v>
                </c:pt>
                <c:pt idx="7">
                  <c:v>2008</c:v>
                </c:pt>
                <c:pt idx="8">
                  <c:v>2009</c:v>
                </c:pt>
                <c:pt idx="9">
                  <c:v>2010</c:v>
                </c:pt>
                <c:pt idx="10">
                  <c:v>2011</c:v>
                </c:pt>
                <c:pt idx="11">
                  <c:v>2012</c:v>
                </c:pt>
                <c:pt idx="12">
                  <c:v>2013</c:v>
                </c:pt>
                <c:pt idx="13">
                  <c:v>2014</c:v>
                </c:pt>
                <c:pt idx="14">
                  <c:v>2015</c:v>
                </c:pt>
              </c:numCache>
            </c:numRef>
          </c:cat>
          <c:val>
            <c:numRef>
              <c:f>Foglio10!$R$2:$R$16</c:f>
              <c:numCache>
                <c:formatCode>#,##0</c:formatCode>
                <c:ptCount val="15"/>
                <c:pt idx="0">
                  <c:v>794</c:v>
                </c:pt>
                <c:pt idx="1">
                  <c:v>861</c:v>
                </c:pt>
                <c:pt idx="2">
                  <c:v>626</c:v>
                </c:pt>
                <c:pt idx="3">
                  <c:v>712</c:v>
                </c:pt>
                <c:pt idx="4">
                  <c:v>653</c:v>
                </c:pt>
                <c:pt idx="5">
                  <c:v>664</c:v>
                </c:pt>
                <c:pt idx="6">
                  <c:v>595</c:v>
                </c:pt>
                <c:pt idx="7">
                  <c:v>554</c:v>
                </c:pt>
                <c:pt idx="8" formatCode="0">
                  <c:v>535</c:v>
                </c:pt>
                <c:pt idx="9" formatCode="0">
                  <c:v>526</c:v>
                </c:pt>
                <c:pt idx="10" formatCode="0">
                  <c:v>484</c:v>
                </c:pt>
                <c:pt idx="11" formatCode="0">
                  <c:v>420</c:v>
                </c:pt>
                <c:pt idx="12" formatCode="0">
                  <c:v>390</c:v>
                </c:pt>
                <c:pt idx="13" formatCode="General">
                  <c:v>395</c:v>
                </c:pt>
                <c:pt idx="14" formatCode="General">
                  <c:v>440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axId val="161793024"/>
        <c:axId val="164306240"/>
      </c:barChart>
      <c:lineChart>
        <c:grouping val="standard"/>
        <c:varyColors val="0"/>
        <c:ser>
          <c:idx val="1"/>
          <c:order val="0"/>
          <c:tx>
            <c:strRef>
              <c:f>Foglio10!$Q$1</c:f>
              <c:strCache>
                <c:ptCount val="1"/>
                <c:pt idx="0">
                  <c:v>Incidenti</c:v>
                </c:pt>
              </c:strCache>
            </c:strRef>
          </c:tx>
          <c:spPr>
            <a:ln w="38100" cmpd="sng">
              <a:solidFill>
                <a:schemeClr val="tx2"/>
              </a:solidFill>
            </a:ln>
          </c:spPr>
          <c:marker>
            <c:symbol val="none"/>
          </c:marker>
          <c:dPt>
            <c:idx val="9"/>
            <c:bubble3D val="0"/>
          </c:dPt>
          <c:dPt>
            <c:idx val="12"/>
            <c:bubble3D val="0"/>
          </c:dPt>
          <c:dPt>
            <c:idx val="13"/>
            <c:bubble3D val="0"/>
          </c:dPt>
          <c:dLbls>
            <c:dLbl>
              <c:idx val="0"/>
              <c:layout>
                <c:manualLayout>
                  <c:x val="-3.1512923470527747E-2"/>
                  <c:y val="-4.071246436851411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72.529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287612697411888E-2"/>
                  <c:y val="-6.263977505676207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57.597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649336152730122E-2"/>
                  <c:y val="-5.428314749246947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44.560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val>
            <c:numRef>
              <c:f>Foglio10!$Q$2:$Q$16</c:f>
              <c:numCache>
                <c:formatCode>0</c:formatCode>
                <c:ptCount val="15"/>
                <c:pt idx="0">
                  <c:v>72529</c:v>
                </c:pt>
                <c:pt idx="1">
                  <c:v>72026</c:v>
                </c:pt>
                <c:pt idx="2">
                  <c:v>68686</c:v>
                </c:pt>
                <c:pt idx="3">
                  <c:v>70585</c:v>
                </c:pt>
                <c:pt idx="4">
                  <c:v>68367</c:v>
                </c:pt>
                <c:pt idx="5">
                  <c:v>68297</c:v>
                </c:pt>
                <c:pt idx="6">
                  <c:v>65827</c:v>
                </c:pt>
                <c:pt idx="7">
                  <c:v>60323</c:v>
                </c:pt>
                <c:pt idx="8">
                  <c:v>58958</c:v>
                </c:pt>
                <c:pt idx="9">
                  <c:v>57597</c:v>
                </c:pt>
                <c:pt idx="10">
                  <c:v>55762</c:v>
                </c:pt>
                <c:pt idx="11">
                  <c:v>50452</c:v>
                </c:pt>
                <c:pt idx="12">
                  <c:v>47044</c:v>
                </c:pt>
                <c:pt idx="13">
                  <c:v>45371</c:v>
                </c:pt>
                <c:pt idx="14">
                  <c:v>44560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1793536"/>
        <c:axId val="164301632"/>
      </c:lineChart>
      <c:valAx>
        <c:axId val="164306240"/>
        <c:scaling>
          <c:orientation val="minMax"/>
        </c:scaling>
        <c:delete val="0"/>
        <c:axPos val="r"/>
        <c:numFmt formatCode="#,##0" sourceLinked="1"/>
        <c:majorTickMark val="out"/>
        <c:minorTickMark val="none"/>
        <c:tickLblPos val="nextTo"/>
        <c:crossAx val="161793024"/>
        <c:crosses val="max"/>
        <c:crossBetween val="between"/>
      </c:valAx>
      <c:catAx>
        <c:axId val="161793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4306240"/>
        <c:crosses val="autoZero"/>
        <c:auto val="1"/>
        <c:lblAlgn val="ctr"/>
        <c:lblOffset val="100"/>
        <c:noMultiLvlLbl val="0"/>
      </c:catAx>
      <c:valAx>
        <c:axId val="164301632"/>
        <c:scaling>
          <c:orientation val="minMax"/>
        </c:scaling>
        <c:delete val="0"/>
        <c:axPos val="l"/>
        <c:numFmt formatCode="#,##0" sourceLinked="0"/>
        <c:majorTickMark val="out"/>
        <c:minorTickMark val="none"/>
        <c:tickLblPos val="nextTo"/>
        <c:crossAx val="161793536"/>
        <c:crosses val="autoZero"/>
        <c:crossBetween val="between"/>
      </c:valAx>
      <c:catAx>
        <c:axId val="161793536"/>
        <c:scaling>
          <c:orientation val="minMax"/>
        </c:scaling>
        <c:delete val="1"/>
        <c:axPos val="b"/>
        <c:majorTickMark val="out"/>
        <c:minorTickMark val="none"/>
        <c:tickLblPos val="nextTo"/>
        <c:crossAx val="164301632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8221427609262681"/>
          <c:y val="0.90374755033405663"/>
          <c:w val="0.23557144781474634"/>
          <c:h val="9.4234512551959707E-2"/>
        </c:manualLayout>
      </c:layout>
      <c:overlay val="0"/>
    </c:legend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Times New Roman" panose="02020603050405020304" pitchFamily="18" charset="0"/>
          <a:ea typeface="Arial"/>
          <a:cs typeface="Times New Roman" panose="02020603050405020304" pitchFamily="18" charset="0"/>
        </a:defRPr>
      </a:pPr>
      <a:endParaRPr lang="it-IT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0.73315</cdr:x>
      <cdr:y>3.85981E-7</cdr:y>
    </cdr:from>
    <cdr:to>
      <cdr:x>0.99001</cdr:x>
      <cdr:y>0.09927</cdr:y>
    </cdr:to>
    <cdr:sp macro="" textlink="">
      <cdr:nvSpPr>
        <cdr:cNvPr id="10242" name="CasellaDiTesto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593598" y="1"/>
          <a:ext cx="1959720" cy="2571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91440" tIns="45720" rIns="91440" bIns="45720" anchor="t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it-IT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Scala Serie Morti</a:t>
          </a:r>
          <a:endParaRPr lang="it-IT" b="1"/>
        </a:p>
      </cdr:txBody>
    </cdr:sp>
  </cdr:relSizeAnchor>
  <cdr:relSizeAnchor xmlns:cdr="http://schemas.openxmlformats.org/drawingml/2006/chartDrawing">
    <cdr:from>
      <cdr:x>0</cdr:x>
      <cdr:y>0.01333</cdr:y>
    </cdr:from>
    <cdr:to>
      <cdr:x>0.352</cdr:x>
      <cdr:y>0.13597</cdr:y>
    </cdr:to>
    <cdr:sp macro="" textlink="">
      <cdr:nvSpPr>
        <cdr:cNvPr id="10243" name="CasellaDiTesto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30345"/>
          <a:ext cx="2095500" cy="27918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91440" tIns="45720" rIns="91440" bIns="45720" anchor="t"/>
        <a:lstStyle xmlns:a="http://schemas.openxmlformats.org/drawingml/2006/main"/>
        <a:p xmlns:a="http://schemas.openxmlformats.org/drawingml/2006/main">
          <a:pPr algn="l" rtl="0">
            <a:lnSpc>
              <a:spcPts val="600"/>
            </a:lnSpc>
            <a:defRPr sz="1000"/>
          </a:pPr>
          <a:r>
            <a:rPr lang="it-IT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Scala Serie Incidenti e Feriti</a:t>
          </a:r>
        </a:p>
        <a:p xmlns:a="http://schemas.openxmlformats.org/drawingml/2006/main">
          <a:pPr algn="ctr" rtl="0">
            <a:lnSpc>
              <a:spcPts val="1000"/>
            </a:lnSpc>
            <a:defRPr sz="1000"/>
          </a:pPr>
          <a:endParaRPr lang="it-IT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0.71539</cdr:x>
      <cdr:y>0</cdr:y>
    </cdr:from>
    <cdr:to>
      <cdr:x>0.97225</cdr:x>
      <cdr:y>0.08584</cdr:y>
    </cdr:to>
    <cdr:sp macro="" textlink="">
      <cdr:nvSpPr>
        <cdr:cNvPr id="10242" name="CasellaDiTesto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521049" y="0"/>
          <a:ext cx="2341388" cy="24365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91440" tIns="45720" rIns="91440" bIns="45720" anchor="b" anchorCtr="0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it-IT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Scala Serie Morti</a:t>
          </a:r>
          <a:endParaRPr lang="it-IT" sz="800" b="1"/>
        </a:p>
      </cdr:txBody>
    </cdr:sp>
  </cdr:relSizeAnchor>
  <cdr:relSizeAnchor xmlns:cdr="http://schemas.openxmlformats.org/drawingml/2006/chartDrawing">
    <cdr:from>
      <cdr:x>0</cdr:x>
      <cdr:y>0.01007</cdr:y>
    </cdr:from>
    <cdr:to>
      <cdr:x>0.352</cdr:x>
      <cdr:y>0.07047</cdr:y>
    </cdr:to>
    <cdr:sp macro="" textlink="">
      <cdr:nvSpPr>
        <cdr:cNvPr id="10243" name="CasellaDiTesto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28575"/>
          <a:ext cx="3208630" cy="17145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91440" tIns="45720" rIns="91440" bIns="45720" anchor="t"/>
        <a:lstStyle xmlns:a="http://schemas.openxmlformats.org/drawingml/2006/main"/>
        <a:p xmlns:a="http://schemas.openxmlformats.org/drawingml/2006/main">
          <a:pPr algn="l" rtl="0">
            <a:lnSpc>
              <a:spcPts val="600"/>
            </a:lnSpc>
            <a:defRPr sz="1000"/>
          </a:pPr>
          <a:r>
            <a:rPr lang="it-IT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Scala Serie Incidenti </a:t>
          </a:r>
          <a:endParaRPr lang="it-IT" sz="800"/>
        </a:p>
      </cdr:txBody>
    </cdr:sp>
  </cdr:relSizeAnchor>
</c:userShap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030F2-CBB9-4856-AB01-2FA9D5A27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6318</Words>
  <Characters>36019</Characters>
  <Application>Microsoft Office Word</Application>
  <DocSecurity>0</DocSecurity>
  <Lines>300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42253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Giordana Baldassarre</dc:creator>
  <cp:lastModifiedBy>Zacchi Giovanni</cp:lastModifiedBy>
  <cp:revision>13</cp:revision>
  <cp:lastPrinted>2016-12-05T08:40:00Z</cp:lastPrinted>
  <dcterms:created xsi:type="dcterms:W3CDTF">2016-11-22T10:44:00Z</dcterms:created>
  <dcterms:modified xsi:type="dcterms:W3CDTF">2016-12-05T10:04:00Z</dcterms:modified>
</cp:coreProperties>
</file>